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стороннему</w:t>
      </w:r>
      <w:r>
        <w:t xml:space="preserve"> </w:t>
      </w:r>
      <w:r>
        <w:t xml:space="preserve">курсу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2,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Борунов</w:t>
      </w:r>
      <w:r>
        <w:t xml:space="preserve"> </w:t>
      </w:r>
      <w:r>
        <w:t xml:space="preserve">Семён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работой с удаленными серверами через консоль в Линукс</w:t>
      </w:r>
    </w:p>
    <w:bookmarkEnd w:id="20"/>
    <w:bookmarkStart w:id="129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первая задача не требует комментариев, тут описаны основные причины создания серверов как концепта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010201"/>
            <wp:effectExtent b="0" l="0" r="0" t="0"/>
            <wp:docPr descr="Figure 1: функции серверов" title="" id="2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5-54-0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функции серверов</w:t>
      </w:r>
    </w:p>
    <w:bookmarkEnd w:id="0"/>
    <w:p>
      <w:pPr>
        <w:pStyle w:val="BodyText"/>
      </w:pPr>
      <w:r>
        <w:t xml:space="preserve">ключ .pub имеет очень говорящее разширение(рис.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189955"/>
            <wp:effectExtent b="0" l="0" r="0" t="0"/>
            <wp:docPr descr="Figure 2: public key" title="" id="2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5-54-2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public key</w:t>
      </w:r>
    </w:p>
    <w:bookmarkEnd w:id="0"/>
    <w:p>
      <w:pPr>
        <w:pStyle w:val="BodyText"/>
      </w:pPr>
      <w:r>
        <w:t xml:space="preserve">при авторизации на предложенном сервере появляется крайне милая корова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781037"/>
            <wp:effectExtent b="0" l="0" r="0" t="0"/>
            <wp:docPr descr="Figure 3: муу" title="" id="3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5-58-3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муу</w:t>
      </w:r>
    </w:p>
    <w:bookmarkEnd w:id="0"/>
    <w:p>
      <w:pPr>
        <w:pStyle w:val="BodyText"/>
      </w:pPr>
      <w:r>
        <w:t xml:space="preserve">выполнение следующего задания требует только авторизоваться на сервере и воспользоваться командой cat (подробности на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 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115654"/>
            <wp:effectExtent b="0" l="0" r="0" t="0"/>
            <wp:docPr descr="Figure 4: снова корова" title="" id="3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1-4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снова корова</w:t>
      </w:r>
    </w:p>
    <w:bookmarkEnd w:id="0"/>
    <w:p>
      <w:pPr>
        <w:pStyle w:val="BodyText"/>
      </w:pPr>
      <w:r>
        <w:t xml:space="preserve">как и для любых папок, для папок на сервере нужен ключ -r(рис.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0" w:name="fig:006"/>
      <w:r>
        <w:drawing>
          <wp:inline>
            <wp:extent cx="5334000" cy="2231471"/>
            <wp:effectExtent b="0" l="0" r="0" t="0"/>
            <wp:docPr descr="Figure 5: -r" title="" id="3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2-3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-r</w:t>
      </w:r>
    </w:p>
    <w:bookmarkEnd w:id="0"/>
    <w:p>
      <w:pPr>
        <w:pStyle w:val="BodyText"/>
      </w:pPr>
      <w:r>
        <w:t xml:space="preserve">команда update перепроверяет наличие связей у пакета apt, если оказывается, что появились новые, то устанавливает. значит если пакет не знал окакой-то программе, то теперь знает(рис.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4" w:name="fig:007"/>
      <w:r>
        <w:drawing>
          <wp:inline>
            <wp:extent cx="5334000" cy="2231471"/>
            <wp:effectExtent b="0" l="0" r="0" t="0"/>
            <wp:docPr descr="Figure 6: lvl up" title="" id="4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3-1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lvl up</w:t>
      </w:r>
    </w:p>
    <w:bookmarkEnd w:id="0"/>
    <w:p>
      <w:pPr>
        <w:pStyle w:val="BodyText"/>
      </w:pPr>
      <w:r>
        <w:t xml:space="preserve">filezilla в каком-то смысле менеджер файлов, поэтому он может их открывать и перемещать, но не запускать (рис.</w:t>
      </w:r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48" w:name="fig:008"/>
      <w:r>
        <w:drawing>
          <wp:inline>
            <wp:extent cx="5334000" cy="2231471"/>
            <wp:effectExtent b="0" l="0" r="0" t="0"/>
            <wp:docPr descr="Figure 7: роар" title="" id="4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3-3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роар</w:t>
      </w:r>
    </w:p>
    <w:bookmarkEnd w:id="0"/>
    <w:p>
      <w:pPr>
        <w:pStyle w:val="BodyText"/>
      </w:pPr>
      <w:r>
        <w:t xml:space="preserve">перенос файлов с сервера делается аналогично обычному копированию cp(рис.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2" w:name="fig:009"/>
      <w:r>
        <w:drawing>
          <wp:inline>
            <wp:extent cx="5334000" cy="2847771"/>
            <wp:effectExtent b="0" l="0" r="0" t="0"/>
            <wp:docPr descr="Figure 8: secret" title="" id="5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8-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secret</w:t>
      </w:r>
    </w:p>
    <w:bookmarkEnd w:id="0"/>
    <w:p>
      <w:pPr>
        <w:pStyle w:val="BodyText"/>
      </w:pPr>
      <w:r>
        <w:t xml:space="preserve">это задание довольно странное, комментировать его решение не считаю нужным(рис.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56" w:name="fig:010"/>
      <w:r>
        <w:drawing>
          <wp:inline>
            <wp:extent cx="5334000" cy="2114866"/>
            <wp:effectExtent b="0" l="0" r="0" t="0"/>
            <wp:docPr descr="Figure 9: ничего сделать нельзя" title="" id="5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8-4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ничего сделать нельзя</w:t>
      </w:r>
    </w:p>
    <w:bookmarkEnd w:id="0"/>
    <w:p>
      <w:pPr>
        <w:pStyle w:val="BodyText"/>
      </w:pPr>
      <w:r>
        <w:t xml:space="preserve">вариант с help program немного устарел, насколько мне известно, но его еще возможно встретить иногда(рис.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0" w:name="fig:011"/>
      <w:r>
        <w:drawing>
          <wp:inline>
            <wp:extent cx="5334000" cy="2440231"/>
            <wp:effectExtent b="0" l="0" r="0" t="0"/>
            <wp:docPr descr="Figure 10: помогите" title="" id="5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09-0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помогите</w:t>
      </w:r>
    </w:p>
    <w:bookmarkEnd w:id="0"/>
    <w:p>
      <w:pPr>
        <w:pStyle w:val="BodyText"/>
      </w:pPr>
      <w:r>
        <w:t xml:space="preserve">далее воспользуемся мануалом и командой grep, чтобы узнать форматы, принимаемые программой(рис.</w:t>
      </w:r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4" w:name="fig:012"/>
      <w:r>
        <w:drawing>
          <wp:inline>
            <wp:extent cx="5334000" cy="3531236"/>
            <wp:effectExtent b="0" l="0" r="0" t="0"/>
            <wp:docPr descr="Figure 11: bioin-format-ics" title="" id="6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14-3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bioin-format-ics</w:t>
      </w:r>
    </w:p>
    <w:bookmarkEnd w:id="0"/>
    <w:p>
      <w:pPr>
        <w:pStyle w:val="BodyText"/>
      </w:pPr>
      <w:r>
        <w:t xml:space="preserve">ответ на эту задачу так же найдем в мануале 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68" w:name="fig:013"/>
      <w:r>
        <w:drawing>
          <wp:inline>
            <wp:extent cx="5334000" cy="3531236"/>
            <wp:effectExtent b="0" l="0" r="0" t="0"/>
            <wp:docPr descr="Figure 12: -align" title="" id="6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21-0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-align</w:t>
      </w:r>
    </w:p>
    <w:bookmarkEnd w:id="0"/>
    <w:p>
      <w:pPr>
        <w:pStyle w:val="BodyText"/>
      </w:pPr>
      <w:r>
        <w:t xml:space="preserve">первую программу мы завершили, поэтому она и не работает, а программу 2 только поставили на паузу 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2" w:name="fig:014"/>
      <w:r>
        <w:drawing>
          <wp:inline>
            <wp:extent cx="5334000" cy="3531236"/>
            <wp:effectExtent b="0" l="0" r="0" t="0"/>
            <wp:docPr descr="Figure 13: jobs" title="" id="7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21-3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jobs</w:t>
      </w:r>
    </w:p>
    <w:bookmarkEnd w:id="0"/>
    <w:p>
      <w:pPr>
        <w:pStyle w:val="BodyText"/>
      </w:pPr>
      <w:r>
        <w:t xml:space="preserve">ps и top указывают уникальный pid процесса, когда как jobs нумерует относительно, что не является универсальной идентификацией(рис.</w:t>
      </w:r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76" w:name="fig:015"/>
      <w:r>
        <w:drawing>
          <wp:inline>
            <wp:extent cx="5334000" cy="2647134"/>
            <wp:effectExtent b="0" l="0" r="0" t="0"/>
            <wp:docPr descr="Figure 14: topps" title="" id="7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21-5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topps</w:t>
      </w:r>
    </w:p>
    <w:bookmarkEnd w:id="0"/>
    <w:p>
      <w:pPr>
        <w:pStyle w:val="BodyText"/>
      </w:pPr>
      <w:r>
        <w:t xml:space="preserve">тут комментарии излишни(рис.</w:t>
      </w:r>
      <w:r>
        <w:t xml:space="preserve"> </w:t>
      </w:r>
      <w:hyperlink w:anchor="fig:016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0" w:name="fig:016"/>
      <w:r>
        <w:drawing>
          <wp:inline>
            <wp:extent cx="5334000" cy="2647134"/>
            <wp:effectExtent b="0" l="0" r="0" t="0"/>
            <wp:docPr descr="Figure 15: kill em all" title="" id="7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22-0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kill em all</w:t>
      </w:r>
    </w:p>
    <w:bookmarkEnd w:id="0"/>
    <w:p>
      <w:pPr>
        <w:pStyle w:val="BodyText"/>
      </w:pPr>
      <w:r>
        <w:t xml:space="preserve">kill без опций завершает процессы</w:t>
      </w:r>
      <w:r>
        <w:t xml:space="preserve"> </w:t>
      </w:r>
      <w:r>
        <w:t xml:space="preserve">“</w:t>
      </w:r>
      <w:r>
        <w:t xml:space="preserve">по их собственному протоколу</w:t>
      </w:r>
      <w:r>
        <w:t xml:space="preserve">”</w:t>
      </w:r>
      <w:r>
        <w:t xml:space="preserve"> </w:t>
      </w:r>
      <w:r>
        <w:t xml:space="preserve">те дает возможность сохранить что-то, довести до конца. а это возможно, только когда процесс будет продолжен(рис.</w:t>
      </w:r>
      <w:r>
        <w:t xml:space="preserve"> </w:t>
      </w:r>
      <w:hyperlink w:anchor="fig:017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4" w:name="fig:017"/>
      <w:r>
        <w:drawing>
          <wp:inline>
            <wp:extent cx="5334000" cy="2647134"/>
            <wp:effectExtent b="0" l="0" r="0" t="0"/>
            <wp:docPr descr="Figure 16: без опций" title="" id="8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5-28%2016-22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без опций</w:t>
      </w:r>
    </w:p>
    <w:bookmarkEnd w:id="0"/>
    <w:p>
      <w:pPr>
        <w:pStyle w:val="BodyText"/>
      </w:pPr>
      <w:r>
        <w:t xml:space="preserve">раз процесс не выполняется, значит он не потребляет вычислительные мощности(рис.</w:t>
      </w:r>
      <w:r>
        <w:t xml:space="preserve"> </w:t>
      </w:r>
      <w:hyperlink w:anchor="fig:018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88" w:name="fig:018"/>
      <w:r>
        <w:drawing>
          <wp:inline>
            <wp:extent cx="5334000" cy="3562634"/>
            <wp:effectExtent b="0" l="0" r="0" t="0"/>
            <wp:docPr descr="Figure 17: кто не работает тот не ест" title="" id="8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6-38-0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кто не работает тот не ест</w:t>
      </w:r>
    </w:p>
    <w:bookmarkEnd w:id="0"/>
    <w:p>
      <w:pPr>
        <w:pStyle w:val="BodyText"/>
      </w:pPr>
      <w:r>
        <w:t xml:space="preserve">процесс продолжает занимать память, ведь все двнные программы остаются нужны и их нельзя удалить, ведь тогда процесс будеть завершен, а не поставлен на паузу(рис.</w:t>
      </w:r>
      <w:r>
        <w:t xml:space="preserve"> </w:t>
      </w:r>
      <w:hyperlink w:anchor="fig:019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2" w:name="fig:019"/>
      <w:r>
        <w:drawing>
          <wp:inline>
            <wp:extent cx="5334000" cy="3562634"/>
            <wp:effectExtent b="0" l="0" r="0" t="0"/>
            <wp:docPr descr="Figure 18: …но занимает место" title="" id="9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6-38-2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…но занимает место</w:t>
      </w:r>
    </w:p>
    <w:bookmarkEnd w:id="0"/>
    <w:p>
      <w:pPr>
        <w:pStyle w:val="BodyText"/>
      </w:pPr>
      <w:r>
        <w:t xml:space="preserve">для многопоточного приложения каждый поток его состаная часть, без любого из них он не сможет адекватно работать (хоть это и зависит от архитектуры приложения)(рис.</w:t>
      </w:r>
      <w:r>
        <w:t xml:space="preserve"> </w:t>
      </w:r>
      <w:hyperlink w:anchor="fig:020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96" w:name="fig:020"/>
      <w:r>
        <w:drawing>
          <wp:inline>
            <wp:extent cx="5334000" cy="3562634"/>
            <wp:effectExtent b="0" l="0" r="0" t="0"/>
            <wp:docPr descr="Figure 19: никаких kill’ов" title="" id="9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6-39-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никаких kill’ов</w:t>
      </w:r>
    </w:p>
    <w:bookmarkEnd w:id="0"/>
    <w:p>
      <w:pPr>
        <w:pStyle w:val="BodyText"/>
      </w:pPr>
      <w:r>
        <w:t xml:space="preserve">build базовая часть, ее нельзя выполнить в несколько потоков(рис.</w:t>
      </w:r>
      <w:r>
        <w:t xml:space="preserve"> </w:t>
      </w:r>
      <w:hyperlink w:anchor="fig:021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0" w:name="fig:021"/>
      <w:r>
        <w:drawing>
          <wp:inline>
            <wp:extent cx="5334000" cy="2697022"/>
            <wp:effectExtent b="0" l="0" r="0" t="0"/>
            <wp:docPr descr="Figure 20: база." title="" id="9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6-43-0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база.</w:t>
      </w:r>
    </w:p>
    <w:bookmarkEnd w:id="0"/>
    <w:p>
      <w:pPr>
        <w:pStyle w:val="BodyText"/>
      </w:pPr>
      <w:r>
        <w:t xml:space="preserve">текст, который оказался в файле это</w:t>
      </w:r>
    </w:p>
    <w:p>
      <w:pPr>
        <w:pStyle w:val="SourceCode"/>
      </w:pPr>
      <w:r>
        <w:rPr>
          <w:rStyle w:val="VerbatimChar"/>
        </w:rPr>
        <w:t xml:space="preserve">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</w:t>
      </w:r>
    </w:p>
    <w:p>
      <w:pPr>
        <w:pStyle w:val="FirstParagraph"/>
      </w:pPr>
      <w:r>
        <w:t xml:space="preserve">(рис.</w:t>
      </w:r>
      <w:r>
        <w:t xml:space="preserve"> </w:t>
      </w:r>
      <w:hyperlink w:anchor="fig:022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4" w:name="fig:022"/>
      <w:r>
        <w:drawing>
          <wp:inline>
            <wp:extent cx="5334000" cy="2697022"/>
            <wp:effectExtent b="0" l="0" r="0" t="0"/>
            <wp:docPr descr="Figure 21: bowtie2" title="" id="10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6-49-0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bowtie2</w:t>
      </w:r>
    </w:p>
    <w:bookmarkEnd w:id="0"/>
    <w:p>
      <w:pPr>
        <w:pStyle w:val="BodyText"/>
      </w:pPr>
      <w:r>
        <w:t xml:space="preserve">все вкладки в tmux изолированные(рис.</w:t>
      </w:r>
      <w:r>
        <w:t xml:space="preserve"> </w:t>
      </w:r>
      <w:hyperlink w:anchor="fig:023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08" w:name="fig:023"/>
      <w:r>
        <w:drawing>
          <wp:inline>
            <wp:extent cx="5334000" cy="2697022"/>
            <wp:effectExtent b="0" l="0" r="0" t="0"/>
            <wp:docPr descr="Figure 22: hello darkness" title="" id="10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7-02-1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hello darkness</w:t>
      </w:r>
    </w:p>
    <w:bookmarkEnd w:id="0"/>
    <w:p>
      <w:pPr>
        <w:pStyle w:val="BodyText"/>
      </w:pPr>
      <w:r>
        <w:t xml:space="preserve">менеджер вкладок без вкладок не работает(рис.</w:t>
      </w:r>
      <w:r>
        <w:t xml:space="preserve"> </w:t>
      </w:r>
      <w:hyperlink w:anchor="fig:024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2" w:name="fig:024"/>
      <w:r>
        <w:drawing>
          <wp:inline>
            <wp:extent cx="5334000" cy="2697022"/>
            <wp:effectExtent b="0" l="0" r="0" t="0"/>
            <wp:docPr descr="Figure 23: работа без вкладок не работа" title="" id="11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7-03-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работа без вкладок не работа</w:t>
      </w:r>
    </w:p>
    <w:bookmarkEnd w:id="0"/>
    <w:p>
      <w:pPr>
        <w:pStyle w:val="BodyText"/>
      </w:pPr>
      <w:r>
        <w:t xml:space="preserve">tmux создан, чтобы заканчивать работу приложения не смотря ни на что(рис.</w:t>
      </w:r>
      <w:r>
        <w:t xml:space="preserve"> </w:t>
      </w:r>
      <w:hyperlink w:anchor="fig:025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16" w:name="fig:025"/>
      <w:r>
        <w:drawing>
          <wp:inline>
            <wp:extent cx="5334000" cy="2697022"/>
            <wp:effectExtent b="0" l="0" r="0" t="0"/>
            <wp:docPr descr="Figure 24: стоический tmux" title="" id="11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7-03-4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стоический tmux</w:t>
      </w:r>
    </w:p>
    <w:bookmarkEnd w:id="0"/>
    <w:p>
      <w:pPr>
        <w:pStyle w:val="BodyText"/>
      </w:pPr>
      <w:r>
        <w:t xml:space="preserve">в современных версиях этот ответ не верен, вкладка с работающим процессом выдает предупреждение перед тем, как быть закрытой(рис.</w:t>
      </w:r>
      <w:r>
        <w:t xml:space="preserve"> </w:t>
      </w:r>
      <w:hyperlink w:anchor="fig:026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0" w:name="fig:026"/>
      <w:r>
        <w:drawing>
          <wp:inline>
            <wp:extent cx="5334000" cy="2697022"/>
            <wp:effectExtent b="0" l="0" r="0" t="0"/>
            <wp:docPr descr="Figure 25: метод научного тыка" title="" id="11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7-04-1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метод научного тыка</w:t>
      </w:r>
    </w:p>
    <w:bookmarkEnd w:id="0"/>
    <w:p>
      <w:pPr>
        <w:pStyle w:val="BodyText"/>
      </w:pPr>
      <w:r>
        <w:t xml:space="preserve">просто откроем мануал и найдем с помощью grep слово rename(рис.</w:t>
      </w:r>
      <w:r>
        <w:t xml:space="preserve"> </w:t>
      </w:r>
      <w:hyperlink w:anchor="fig:027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4" w:name="fig:027"/>
      <w:r>
        <w:drawing>
          <wp:inline>
            <wp:extent cx="5334000" cy="2697022"/>
            <wp:effectExtent b="0" l="0" r="0" t="0"/>
            <wp:docPr descr="Figure 26: ," title="" id="12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7-04-3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,</w:t>
      </w:r>
    </w:p>
    <w:bookmarkEnd w:id="0"/>
    <w:p>
      <w:pPr>
        <w:pStyle w:val="BodyText"/>
      </w:pPr>
      <w:r>
        <w:t xml:space="preserve">все представленно на картинке (рис.</w:t>
      </w:r>
      <w:r>
        <w:t xml:space="preserve"> </w:t>
      </w:r>
      <w:hyperlink w:anchor="fig:028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28" w:name="fig:028"/>
      <w:r>
        <w:drawing>
          <wp:inline>
            <wp:extent cx="5334000" cy="3587869"/>
            <wp:effectExtent b="0" l="0" r="0" t="0"/>
            <wp:docPr descr="Figure 27: Yes!" title="" id="12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2/image/Screenshot%20from%202023-06-02%2017-06-1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Yes!</w:t>
      </w:r>
    </w:p>
    <w:bookmarkEnd w:id="0"/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познакомились с работой с удаленными серверами через консоль в Линукс через прикладные пакеты, например tmux, так же были получены навыки по работе с мануалами команд.</w:t>
      </w:r>
    </w:p>
    <w:bookmarkEnd w:id="130"/>
    <w:bookmarkStart w:id="132" w:name="список-литературы"/>
    <w:p>
      <w:pPr>
        <w:pStyle w:val="Heading1"/>
      </w:pPr>
      <w:r>
        <w:t xml:space="preserve">Список литературы</w:t>
      </w:r>
    </w:p>
    <w:bookmarkStart w:id="131" w:name="refs"/>
    <w:bookmarkEnd w:id="131"/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стороннему курсу</dc:title>
  <dc:creator>Борунов Семён Сергеевич</dc:creator>
  <dc:language>ru-RU</dc:language>
  <cp:keywords/>
  <dcterms:created xsi:type="dcterms:W3CDTF">2023-06-02T15:14:13Z</dcterms:created>
  <dcterms:modified xsi:type="dcterms:W3CDTF">2023-06-02T15:14:13Z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часть 2, 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