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7D64" w:rsidRPr="00A24844" w:rsidRDefault="00B51C18" w:rsidP="001B7D64">
      <w:pPr>
        <w:pStyle w:val="a3"/>
        <w:spacing w:line="360" w:lineRule="auto"/>
        <w:ind w:firstLine="709"/>
        <w:contextualSpacing/>
        <w:jc w:val="center"/>
        <w:rPr>
          <w:b/>
          <w:bCs/>
        </w:rPr>
      </w:pPr>
      <w:r>
        <w:rPr>
          <w:b/>
          <w:bCs/>
        </w:rPr>
        <w:t>Лабораторное занятие №7</w:t>
      </w:r>
      <w:r w:rsidR="001B7D64" w:rsidRPr="00A24844">
        <w:rPr>
          <w:b/>
          <w:bCs/>
        </w:rPr>
        <w:t>.</w:t>
      </w:r>
    </w:p>
    <w:p w:rsidR="001B7D64" w:rsidRPr="00A24844" w:rsidRDefault="001B7D64" w:rsidP="001B7D64">
      <w:pPr>
        <w:pStyle w:val="a3"/>
        <w:spacing w:line="360" w:lineRule="auto"/>
        <w:ind w:firstLine="709"/>
        <w:contextualSpacing/>
        <w:jc w:val="center"/>
        <w:rPr>
          <w:b/>
          <w:bCs/>
        </w:rPr>
      </w:pPr>
      <w:r w:rsidRPr="00A24844">
        <w:rPr>
          <w:b/>
          <w:bCs/>
        </w:rPr>
        <w:t>Устранение проблем совместимости программного обеспечения</w:t>
      </w:r>
    </w:p>
    <w:p w:rsidR="001B7D64" w:rsidRPr="00A24844" w:rsidRDefault="001B7D64" w:rsidP="001B7D64">
      <w:pPr>
        <w:pStyle w:val="a3"/>
        <w:spacing w:line="360" w:lineRule="auto"/>
        <w:ind w:firstLine="709"/>
        <w:contextualSpacing/>
        <w:jc w:val="both"/>
        <w:rPr>
          <w:sz w:val="28"/>
          <w:szCs w:val="28"/>
        </w:rPr>
      </w:pPr>
    </w:p>
    <w:p w:rsidR="001B7D64" w:rsidRPr="00A24844" w:rsidRDefault="001B7D64" w:rsidP="001B7D64">
      <w:pPr>
        <w:pStyle w:val="1"/>
        <w:shd w:val="clear" w:color="auto" w:fill="FFFFFF"/>
        <w:spacing w:after="0" w:line="360" w:lineRule="auto"/>
        <w:ind w:firstLine="709"/>
        <w:jc w:val="both"/>
        <w:rPr>
          <w:rFonts w:ascii="Times New Roman" w:eastAsia="Times New Roman" w:hAnsi="Times New Roman" w:cs="Times New Roman"/>
          <w:sz w:val="24"/>
          <w:szCs w:val="24"/>
        </w:rPr>
      </w:pPr>
      <w:r w:rsidRPr="00A24844">
        <w:rPr>
          <w:rFonts w:ascii="Times New Roman" w:eastAsia="Times New Roman" w:hAnsi="Times New Roman" w:cs="Times New Roman"/>
          <w:b/>
          <w:sz w:val="24"/>
          <w:szCs w:val="24"/>
        </w:rPr>
        <w:t xml:space="preserve">Лабораторное занятие </w:t>
      </w:r>
      <w:r w:rsidRPr="00A24844">
        <w:rPr>
          <w:rFonts w:ascii="Times New Roman" w:eastAsia="Times New Roman" w:hAnsi="Times New Roman" w:cs="Times New Roman"/>
          <w:sz w:val="24"/>
          <w:szCs w:val="24"/>
        </w:rPr>
        <w:t xml:space="preserve">рассчитано на </w:t>
      </w:r>
      <w:r w:rsidR="00DC142F">
        <w:rPr>
          <w:rFonts w:ascii="Times New Roman" w:eastAsia="Times New Roman" w:hAnsi="Times New Roman" w:cs="Times New Roman"/>
          <w:sz w:val="24"/>
          <w:szCs w:val="24"/>
          <w:lang w:val="en-US"/>
        </w:rPr>
        <w:t>2</w:t>
      </w:r>
      <w:bookmarkStart w:id="0" w:name="_GoBack"/>
      <w:bookmarkEnd w:id="0"/>
      <w:r w:rsidRPr="00A24844">
        <w:rPr>
          <w:rFonts w:ascii="Times New Roman" w:eastAsia="Times New Roman" w:hAnsi="Times New Roman" w:cs="Times New Roman"/>
          <w:sz w:val="24"/>
          <w:szCs w:val="24"/>
        </w:rPr>
        <w:t>часа</w:t>
      </w:r>
    </w:p>
    <w:p w:rsidR="001B7D64" w:rsidRPr="00A24844" w:rsidRDefault="001B7D64" w:rsidP="001B7D64">
      <w:pPr>
        <w:pStyle w:val="1"/>
        <w:shd w:val="clear" w:color="auto" w:fill="FFFFFF"/>
        <w:spacing w:after="0" w:line="360" w:lineRule="auto"/>
        <w:ind w:firstLine="709"/>
        <w:jc w:val="both"/>
        <w:rPr>
          <w:rFonts w:ascii="Times New Roman" w:eastAsia="Times New Roman" w:hAnsi="Times New Roman" w:cs="Times New Roman"/>
          <w:sz w:val="24"/>
          <w:szCs w:val="24"/>
        </w:rPr>
      </w:pPr>
    </w:p>
    <w:p w:rsidR="001B7D64" w:rsidRPr="00A24844" w:rsidRDefault="001B7D64" w:rsidP="001B7D64">
      <w:pPr>
        <w:spacing w:line="360" w:lineRule="auto"/>
        <w:ind w:firstLine="709"/>
        <w:jc w:val="both"/>
      </w:pPr>
      <w:r w:rsidRPr="00A24844">
        <w:rPr>
          <w:b/>
        </w:rPr>
        <w:t xml:space="preserve">Формируемые компетенции, умений: </w:t>
      </w:r>
      <w:r w:rsidRPr="00A24844">
        <w:t>ПК 4.1, ПК 4.3, ОК 1 – ОК 11, У1 –У5</w:t>
      </w:r>
    </w:p>
    <w:p w:rsidR="001B7D64" w:rsidRPr="00A24844" w:rsidRDefault="001B7D64" w:rsidP="001B7D64">
      <w:pPr>
        <w:spacing w:line="360" w:lineRule="auto"/>
        <w:ind w:firstLine="709"/>
        <w:jc w:val="both"/>
      </w:pPr>
    </w:p>
    <w:p w:rsidR="001B7D64" w:rsidRPr="00A24844" w:rsidRDefault="001B7D64" w:rsidP="001B7D64">
      <w:pPr>
        <w:pStyle w:val="1"/>
        <w:spacing w:after="0" w:line="360" w:lineRule="auto"/>
        <w:ind w:firstLine="709"/>
        <w:jc w:val="both"/>
        <w:rPr>
          <w:rFonts w:ascii="Times New Roman" w:hAnsi="Times New Roman" w:cs="Times New Roman"/>
          <w:sz w:val="24"/>
          <w:szCs w:val="24"/>
          <w:lang w:bidi="ru-RU"/>
        </w:rPr>
      </w:pPr>
      <w:r w:rsidRPr="00A24844">
        <w:rPr>
          <w:rFonts w:ascii="Times New Roman" w:eastAsia="Times New Roman" w:hAnsi="Times New Roman" w:cs="Times New Roman"/>
          <w:b/>
          <w:sz w:val="24"/>
          <w:szCs w:val="24"/>
        </w:rPr>
        <w:t>Цель работы</w:t>
      </w:r>
      <w:r w:rsidRPr="00A24844">
        <w:rPr>
          <w:rFonts w:ascii="Times New Roman" w:eastAsia="Times New Roman" w:hAnsi="Times New Roman" w:cs="Times New Roman"/>
          <w:sz w:val="24"/>
          <w:szCs w:val="24"/>
        </w:rPr>
        <w:t xml:space="preserve">: </w:t>
      </w:r>
      <w:r w:rsidRPr="00A24844">
        <w:rPr>
          <w:rFonts w:ascii="Times New Roman" w:hAnsi="Times New Roman" w:cs="Times New Roman"/>
          <w:sz w:val="24"/>
          <w:szCs w:val="24"/>
          <w:shd w:val="clear" w:color="auto" w:fill="FFFFFF"/>
        </w:rPr>
        <w:t>изучить принцип тестирования совместимости аппаратного и программного обеспечения</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Совместимость – способность аппаратных или программных компонентов работать с заданной компьютерной системой, или способность двух устройств работать при соединении друг с другом.</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При отсутствии совместимости могут возникать различные виды конфликтов, мешающие или делающие невозможной нормальную работу компьютерной системы. Чаще всего конфликты возникают при установке нового оборудования или программного обеспечения.</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Конфликты делятся на аппаратные, программные и программно-аппаратные.</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Аппаратные конфликты – это конфликты чаще всего возникающие при сборке оборудования или при его установке в сети и приводящие к частичной или полной неработоспособности устройства. Чтобы избежать таких конфликтов, при сборке ПК необходимо соблюдать следующие правила.</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1 Материнская плата и корпус должны быть одного формата (</w:t>
      </w:r>
      <w:proofErr w:type="gramStart"/>
      <w:r w:rsidRPr="00A24844">
        <w:t>например</w:t>
      </w:r>
      <w:proofErr w:type="gramEnd"/>
      <w:r w:rsidRPr="00A24844">
        <w:t xml:space="preserve"> АТХ). Сокеты материнской платы и процессора также должны совпадать (например, у процессора – </w:t>
      </w:r>
      <w:proofErr w:type="spellStart"/>
      <w:r w:rsidRPr="00A24844">
        <w:t>Socket</w:t>
      </w:r>
      <w:proofErr w:type="spellEnd"/>
      <w:r w:rsidRPr="00A24844">
        <w:t xml:space="preserve"> LGA775, а у материнской платы – </w:t>
      </w:r>
      <w:proofErr w:type="spellStart"/>
      <w:r w:rsidRPr="00A24844">
        <w:t>Socket</w:t>
      </w:r>
      <w:proofErr w:type="spellEnd"/>
      <w:r w:rsidRPr="00A24844">
        <w:t xml:space="preserve"> 775).</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2 Материнская плата должна поддерживать частоту шины процессора. Например, если процессор поддерживает частоту 1333 МГц, то и материнская плата должна поддерживать частоту шины 1333 МГц.</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3 Необходимо обратить внимание на звуковую, сетевую и видеокарту, если они не встроенные. Они должны плотно входить в разъемы на материнской плате.</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4. Оперативная память также должна быть совместима с материнской платой (они должны поддерживать одинаковую частоту).</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При установке компьютера в локальной сети при возникновении конфликтов нужно проверить не только правильность установки сетевой карты, но и правильность обжима кабеля; кроме того, кабель может быть просто поврежден.</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lastRenderedPageBreak/>
        <w:t>Также при установке нескольких карт расширения может возникнуть конфликт адресов BIOS, номеров прерываний или каналов прямого доступа к памяти.</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Программные конфликты чаще всего возникают при установке драйверов устройств или другого программного обеспечения и приводят к частичной или полной неработоспособности устройства либо сети.</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Программные неисправности при сборке или установке оборудования встречаются намного чаще, чем аппаратные, и возникают не только из-за неправильно установленных драйверов устройств, но и из-за нестабильности работы программного обеспечения.</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Основные причины возникновения программных ошибок:</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1 Несовершенство программного обеспечения.</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2 Несовершенство операционной системы. Какими бы совершенными ни были операционные системы, они не могут создать нормальные условия для работы всего существующего программного обеспечения. Кроме того, совместимость операционных систем с выпуском каждой новой их версии только ухудшается. Поэтому разработчики ПО вынуждены писать программы, ориентированные на конкретную операционную систему. Пользователю же остается либо обновлять прикладное ПО вместе с операционной системой, либо мириться со сложившейся ситуацией. А иногда и выбирать не приходится, – ведь многие программы распространяются бесплатно (можно догадаться, какое у них в таком случае качество).</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3 Отсутствие ресурсов.</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xml:space="preserve">4 Ошибки в реестре. Реестр — это «мозг» операционной системы </w:t>
      </w:r>
      <w:proofErr w:type="spellStart"/>
      <w:r w:rsidRPr="00A24844">
        <w:t>Windows</w:t>
      </w:r>
      <w:proofErr w:type="spellEnd"/>
      <w:r w:rsidRPr="00A24844">
        <w:t>, и ошибки в нем негативно сказываются на всех процессах, происходящих в компьютере. Причиной возникновения сбоев в реестре являются все те же программы, «прописывающие» свои файлы и ссылки в самых различных местах. Не стоит также забывать и о «троянских конях» и «червях». Для «лечения» реестра существуют специальные утилиты, умеющие анализировать его записи и удалять из реестра ошибочные и не используемые данные.</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xml:space="preserve">Довольно часто возникает проблема с драйверами, когда пользователь устанавливает новое оборудование. Это может происходить из-за частичной несовместимости англоязычной и русскоязычной версий </w:t>
      </w:r>
      <w:proofErr w:type="spellStart"/>
      <w:r w:rsidRPr="00A24844">
        <w:t>Windows</w:t>
      </w:r>
      <w:proofErr w:type="spellEnd"/>
      <w:r w:rsidRPr="00A24844">
        <w:t>, в результате чего возникает повреждение базы драйверов.</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xml:space="preserve">Решить эту проблему можно, создав такую ситуацию, когда операционная система сама восстановит поврежденную базу, так как база драйверов – это не окончательно сформированный файл, операционная система создает его в процессе своей установки. После установки </w:t>
      </w:r>
      <w:proofErr w:type="spellStart"/>
      <w:r w:rsidRPr="00A24844">
        <w:t>Windows</w:t>
      </w:r>
      <w:proofErr w:type="spellEnd"/>
      <w:r w:rsidRPr="00A24844">
        <w:t xml:space="preserve"> закрывает доступ к этой базе для предупреждения ошибочного </w:t>
      </w:r>
      <w:r w:rsidRPr="00A24844">
        <w:lastRenderedPageBreak/>
        <w:t>воздействия пользователя на нее. Однако во время установки или удаления различного оборудования операционная система временно открывает доступ к этой базе для внесения туда новых драйверов. Например, если при установке новой видеокарты ПК ее просто «не видит», то для устранения этой проблемы необходимо отключить компьютер, вынуть видеокарту, снова включить систему без видеокарты, дождаться звукового сигнала, который оповещает об отсутствии видеокарты, вновь выключить компьютер, снова вставить видеокарту и затем опять включить компьютер.</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В ряде случаев такие действия помогают. После этого необходимо удалить старый драйвер и поставить новый. Если же система не отреагировала на ваши действия, то придется обнулить CMOS.</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Другой пример. При установке драйвера новой видеокарты компьютер перестает ее «видеть». Это означает, скорее всего, что для современной видеокарты была поставлена старая версия драйвера, которая не может поддерживать слишком современное оборудование. И наоборот, если видеокарта еле-еле работает, но определить ее ПК не может, то причина данного конфликта – в том, что на старую видеокарту поставили самый новый драйвер (хотя такое бывает редко). В этом случае в драйвере просто нет поддержки данной видеокарты, и система не может ее определить.</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xml:space="preserve">Программно-аппаратные конфликты совмещают в себе конфликты и программного, и аппаратного характера, причем для их разрешения зачастую достаточно </w:t>
      </w:r>
      <w:proofErr w:type="spellStart"/>
      <w:r w:rsidRPr="00A24844">
        <w:t>программно</w:t>
      </w:r>
      <w:proofErr w:type="spellEnd"/>
      <w:r w:rsidRPr="00A24844">
        <w:t xml:space="preserve"> изменить ряд параметров. Рассмотрим несколько таких примеров.</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Как известно, прежде операционной системы в компьютере запускается встроенная в чип материнской платы программа BIOS (</w:t>
      </w:r>
      <w:proofErr w:type="spellStart"/>
      <w:r w:rsidRPr="00A24844">
        <w:t>Base</w:t>
      </w:r>
      <w:proofErr w:type="spellEnd"/>
      <w:r w:rsidRPr="00A24844">
        <w:t xml:space="preserve"> </w:t>
      </w:r>
      <w:proofErr w:type="spellStart"/>
      <w:r w:rsidRPr="00A24844">
        <w:t>Input</w:t>
      </w:r>
      <w:proofErr w:type="spellEnd"/>
      <w:r w:rsidRPr="00A24844">
        <w:t>/</w:t>
      </w:r>
      <w:proofErr w:type="spellStart"/>
      <w:r w:rsidRPr="00A24844">
        <w:t>Output</w:t>
      </w:r>
      <w:proofErr w:type="spellEnd"/>
      <w:r w:rsidRPr="00A24844">
        <w:t xml:space="preserve"> </w:t>
      </w:r>
      <w:proofErr w:type="spellStart"/>
      <w:r w:rsidRPr="00A24844">
        <w:t>System</w:t>
      </w:r>
      <w:proofErr w:type="spellEnd"/>
      <w:r w:rsidRPr="00A24844">
        <w:t xml:space="preserve"> – основная система ввода-вывода). Назначение этого небольшого программного кода – свести к «общему знаменателю» аппаратные различия компьютерного оборудования. Надежная и эффективная работа ПК невозможна без правильно сконфигурированного BIOS. Конфликт же между новейшим оборудованием и устаревшим кодом BIOS — вещь довольно частая. В таком случае выход один: </w:t>
      </w:r>
      <w:proofErr w:type="spellStart"/>
      <w:r w:rsidRPr="00A24844">
        <w:t>перепрошивка</w:t>
      </w:r>
      <w:proofErr w:type="spellEnd"/>
      <w:r w:rsidRPr="00A24844">
        <w:t xml:space="preserve"> BIOS.</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xml:space="preserve">Другим источником конфликтов данного вида является механизм </w:t>
      </w:r>
      <w:proofErr w:type="spellStart"/>
      <w:r w:rsidRPr="00A24844">
        <w:t>Plug</w:t>
      </w:r>
      <w:proofErr w:type="spellEnd"/>
      <w:r w:rsidRPr="00A24844">
        <w:t xml:space="preserve"> </w:t>
      </w:r>
      <w:proofErr w:type="spellStart"/>
      <w:r w:rsidRPr="00A24844">
        <w:t>and</w:t>
      </w:r>
      <w:proofErr w:type="spellEnd"/>
      <w:r w:rsidRPr="00A24844">
        <w:t xml:space="preserve"> </w:t>
      </w:r>
      <w:proofErr w:type="spellStart"/>
      <w:r w:rsidRPr="00A24844">
        <w:t>Play</w:t>
      </w:r>
      <w:proofErr w:type="spellEnd"/>
      <w:r w:rsidRPr="00A24844">
        <w:t xml:space="preserve"> операционной системы </w:t>
      </w:r>
      <w:proofErr w:type="spellStart"/>
      <w:r w:rsidRPr="00A24844">
        <w:t>Windows</w:t>
      </w:r>
      <w:proofErr w:type="spellEnd"/>
      <w:r w:rsidRPr="00A24844">
        <w:t>, который автоматически выделяет ресурсы в ходе установки всех устройств, поддерживающих данный механизм. Если два устройства обращаются к одним и тем же ресурсам, то возникает аппаратный конфликт. В этом случае необходимо вручную изменить установки ресурсов для обеспечения их уникальности для каждого устройства. Сделать это можно двумя способами, в зависимости от того, насколько имеющийся конфликт мешает загрузке операционной системы.</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lastRenderedPageBreak/>
        <w:t xml:space="preserve">Если </w:t>
      </w:r>
      <w:proofErr w:type="spellStart"/>
      <w:r w:rsidRPr="00A24844">
        <w:t>Windows</w:t>
      </w:r>
      <w:proofErr w:type="spellEnd"/>
      <w:r w:rsidRPr="00A24844">
        <w:t xml:space="preserve"> загружается, но при этом не работают (или работают некорректно) некоторые устройства, то достаточно изменить указанные выше ресурсы в оснастке Диспетчер устройств. Если же процесс загрузки </w:t>
      </w:r>
      <w:proofErr w:type="spellStart"/>
      <w:r w:rsidRPr="00A24844">
        <w:t>Windows</w:t>
      </w:r>
      <w:proofErr w:type="spellEnd"/>
      <w:r w:rsidRPr="00A24844">
        <w:t xml:space="preserve"> прерывается, потому что не могут быть обнаружены жесткие диски или устройства, установленные в PCI-слот, то необходимо просмотреть таблицу прерываний, которую выводит BIOS после процедуры POST, найти устройства с одинаковым номером прерывания и вручную задать одному из них свободное прерывание в таблице свойств PCI системной BIOS.</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Таким образом, тестирование совместимости аппаратного и программного обеспечения проводится по минимальным системным требованиям и дополнительным ресурсам, необходимым тому или иному программному обеспечению.</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Составьте таблицу, содержащую минимальные системные требования для программ, необходимые для тестирования на совместимость.</w:t>
      </w:r>
      <w:r w:rsidR="00BC732B">
        <w:t xml:space="preserve"> Вставьте скриншоты технических характеристик Вашего компьютера. Опишите основные реестры и драйвера Вашего компьютера.</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 </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Таблица 17.1 – Минимальные системные требования программного обеспечения</w:t>
      </w:r>
    </w:p>
    <w:tbl>
      <w:tblPr>
        <w:tblW w:w="0" w:type="auto"/>
        <w:tblBorders>
          <w:top w:val="single" w:sz="6" w:space="0" w:color="D5DDE9"/>
          <w:left w:val="single" w:sz="6" w:space="0" w:color="D5DDE9"/>
          <w:bottom w:val="single" w:sz="6" w:space="0" w:color="D5DDE9"/>
          <w:right w:val="single" w:sz="6" w:space="0" w:color="D5DDE9"/>
        </w:tblBorders>
        <w:shd w:val="clear" w:color="auto" w:fill="FFFFFF"/>
        <w:tblCellMar>
          <w:top w:w="15" w:type="dxa"/>
          <w:left w:w="15" w:type="dxa"/>
          <w:bottom w:w="15" w:type="dxa"/>
          <w:right w:w="15" w:type="dxa"/>
        </w:tblCellMar>
        <w:tblLook w:val="04A0" w:firstRow="1" w:lastRow="0" w:firstColumn="1" w:lastColumn="0" w:noHBand="0" w:noVBand="1"/>
      </w:tblPr>
      <w:tblGrid>
        <w:gridCol w:w="2070"/>
        <w:gridCol w:w="1608"/>
        <w:gridCol w:w="1861"/>
        <w:gridCol w:w="1865"/>
        <w:gridCol w:w="2251"/>
      </w:tblGrid>
      <w:tr w:rsidR="001B7D64" w:rsidRPr="00A24844" w:rsidTr="00C0001F">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Программа</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Частота процессора</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Объем оперативной памяти</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Свободный объем жесткого диска</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Дополнительные требования</w:t>
            </w:r>
          </w:p>
        </w:tc>
      </w:tr>
      <w:tr w:rsidR="001B7D64" w:rsidRPr="00A24844" w:rsidTr="00C0001F">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proofErr w:type="spellStart"/>
            <w:r w:rsidRPr="00A24844">
              <w:t>Windows</w:t>
            </w:r>
            <w:proofErr w:type="spellEnd"/>
            <w:r w:rsidRPr="00A24844">
              <w:t xml:space="preserve"> 7 Максимальная х64</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r>
      <w:tr w:rsidR="001B7D64" w:rsidRPr="00A24844" w:rsidTr="00C0001F">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proofErr w:type="spellStart"/>
            <w:r w:rsidRPr="00A24844">
              <w:t>Microsoft</w:t>
            </w:r>
            <w:proofErr w:type="spellEnd"/>
            <w:r w:rsidRPr="00A24844">
              <w:t xml:space="preserve"> </w:t>
            </w:r>
            <w:proofErr w:type="spellStart"/>
            <w:r w:rsidRPr="00A24844">
              <w:t>Office</w:t>
            </w:r>
            <w:proofErr w:type="spellEnd"/>
            <w:r w:rsidRPr="00A24844">
              <w:t xml:space="preserve"> 2013</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r>
      <w:tr w:rsidR="001B7D64" w:rsidRPr="00A24844" w:rsidTr="00C0001F">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proofErr w:type="spellStart"/>
            <w:r w:rsidRPr="00A24844">
              <w:t>Photoshop</w:t>
            </w:r>
            <w:proofErr w:type="spellEnd"/>
            <w:r w:rsidRPr="00A24844">
              <w:t xml:space="preserve"> CS4</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r>
      <w:tr w:rsidR="001B7D64" w:rsidRPr="00A24844" w:rsidTr="00C0001F">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КОМПАС-3D V13</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single" w:sz="6" w:space="0" w:color="D5DDE9"/>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r>
      <w:tr w:rsidR="001B7D64" w:rsidRPr="00A24844" w:rsidTr="00C0001F">
        <w:tc>
          <w:tcPr>
            <w:tcW w:w="0" w:type="auto"/>
            <w:tcBorders>
              <w:top w:val="single" w:sz="2" w:space="0" w:color="D5DDE9"/>
              <w:left w:val="single" w:sz="2" w:space="0" w:color="D5DDE9"/>
              <w:bottom w:val="nil"/>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proofErr w:type="spellStart"/>
            <w:r w:rsidRPr="00A24844">
              <w:t>VMWare</w:t>
            </w:r>
            <w:proofErr w:type="spellEnd"/>
            <w:r w:rsidRPr="00A24844">
              <w:t xml:space="preserve"> 8</w:t>
            </w:r>
          </w:p>
        </w:tc>
        <w:tc>
          <w:tcPr>
            <w:tcW w:w="0" w:type="auto"/>
            <w:tcBorders>
              <w:top w:val="single" w:sz="2" w:space="0" w:color="D5DDE9"/>
              <w:left w:val="single" w:sz="2" w:space="0" w:color="D5DDE9"/>
              <w:bottom w:val="nil"/>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nil"/>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nil"/>
              <w:right w:val="single" w:sz="6" w:space="0" w:color="D5DDE9"/>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c>
          <w:tcPr>
            <w:tcW w:w="0" w:type="auto"/>
            <w:tcBorders>
              <w:top w:val="single" w:sz="2" w:space="0" w:color="D5DDE9"/>
              <w:left w:val="single" w:sz="2" w:space="0" w:color="D5DDE9"/>
              <w:bottom w:val="nil"/>
              <w:right w:val="nil"/>
            </w:tcBorders>
            <w:shd w:val="clear" w:color="auto" w:fill="FFFFFF"/>
            <w:tcMar>
              <w:top w:w="75" w:type="dxa"/>
              <w:left w:w="150" w:type="dxa"/>
              <w:bottom w:w="75" w:type="dxa"/>
              <w:right w:w="150" w:type="dxa"/>
            </w:tcMar>
            <w:vAlign w:val="center"/>
            <w:hideMark/>
          </w:tcPr>
          <w:p w:rsidR="001B7D64" w:rsidRPr="00A24844" w:rsidRDefault="001B7D64" w:rsidP="00C0001F">
            <w:pPr>
              <w:spacing w:line="360" w:lineRule="auto"/>
              <w:ind w:firstLine="709"/>
              <w:jc w:val="both"/>
            </w:pPr>
            <w:r w:rsidRPr="00A24844">
              <w:t> </w:t>
            </w:r>
          </w:p>
        </w:tc>
      </w:tr>
    </w:tbl>
    <w:p w:rsidR="001B7D64" w:rsidRPr="00A24844" w:rsidRDefault="001B7D64" w:rsidP="001B7D64">
      <w:pPr>
        <w:pStyle w:val="a3"/>
        <w:shd w:val="clear" w:color="auto" w:fill="FFFFFF"/>
        <w:spacing w:before="0" w:beforeAutospacing="0" w:after="0" w:afterAutospacing="0" w:line="360" w:lineRule="auto"/>
        <w:ind w:firstLine="709"/>
        <w:jc w:val="both"/>
      </w:pPr>
      <w:r w:rsidRPr="00A24844">
        <w:t> </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rPr>
          <w:rStyle w:val="a4"/>
        </w:rPr>
        <w:t>Контрольные вопросы</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lastRenderedPageBreak/>
        <w:t> </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1 Перечислите основные параметры, по которым проводится тестирование аппаратного и программного обеспечения ПК?</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2 По каким причинам возникают аппаратные конфликты?</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3 По каким причинам возникают программные конфликты?</w:t>
      </w:r>
    </w:p>
    <w:p w:rsidR="001B7D64" w:rsidRPr="00A24844" w:rsidRDefault="001B7D64" w:rsidP="001B7D64">
      <w:pPr>
        <w:pStyle w:val="a3"/>
        <w:shd w:val="clear" w:color="auto" w:fill="FFFFFF"/>
        <w:spacing w:before="0" w:beforeAutospacing="0" w:after="0" w:afterAutospacing="0" w:line="360" w:lineRule="auto"/>
        <w:ind w:firstLine="709"/>
        <w:jc w:val="both"/>
      </w:pPr>
      <w:r w:rsidRPr="00A24844">
        <w:t>4 Какие источники могут быть у аппаратно-программных конфликтов?</w:t>
      </w:r>
    </w:p>
    <w:p w:rsidR="001B7D64" w:rsidRPr="00A24844" w:rsidRDefault="001B7D64" w:rsidP="001B7D64">
      <w:pPr>
        <w:tabs>
          <w:tab w:val="left" w:pos="426"/>
        </w:tabs>
        <w:ind w:firstLine="709"/>
        <w:jc w:val="both"/>
        <w:rPr>
          <w:b/>
        </w:rPr>
      </w:pPr>
      <w:r w:rsidRPr="00A24844">
        <w:rPr>
          <w:b/>
        </w:rPr>
        <w:t>Список литературы.</w:t>
      </w:r>
    </w:p>
    <w:p w:rsidR="001B7D64" w:rsidRPr="00A24844" w:rsidRDefault="001B7D64" w:rsidP="001B7D64">
      <w:pPr>
        <w:ind w:firstLine="709"/>
        <w:jc w:val="both"/>
      </w:pPr>
    </w:p>
    <w:p w:rsidR="001B7D64" w:rsidRPr="00A24844" w:rsidRDefault="001B7D64" w:rsidP="001B7D64">
      <w:pPr>
        <w:numPr>
          <w:ilvl w:val="0"/>
          <w:numId w:val="1"/>
        </w:numPr>
        <w:ind w:left="0" w:firstLine="709"/>
        <w:jc w:val="both"/>
      </w:pPr>
      <w:r w:rsidRPr="00A24844">
        <w:t>Ан П. Сопряжение ПК с внешними устройствами "ДМК Пресс". 2018 Режим доступа: https://e.lanbook.com/book/1086?category=1541</w:t>
      </w:r>
    </w:p>
    <w:p w:rsidR="001B7D64" w:rsidRPr="00A24844" w:rsidRDefault="001B7D64" w:rsidP="001B7D64">
      <w:pPr>
        <w:numPr>
          <w:ilvl w:val="0"/>
          <w:numId w:val="1"/>
        </w:numPr>
        <w:ind w:left="0" w:firstLine="709"/>
        <w:jc w:val="both"/>
      </w:pPr>
      <w:proofErr w:type="spellStart"/>
      <w:r w:rsidRPr="00A24844">
        <w:t>Бикташев</w:t>
      </w:r>
      <w:proofErr w:type="spellEnd"/>
      <w:r w:rsidRPr="00A24844">
        <w:t xml:space="preserve"> Р.А., Федосеева Л.И.. </w:t>
      </w:r>
      <w:r w:rsidRPr="00A24844">
        <w:tab/>
        <w:t>Введение в вычислительную технику</w:t>
      </w:r>
      <w:r w:rsidRPr="00A24844">
        <w:tab/>
        <w:t>Пензенский государственный технологический университет Режим доступа: https://e.lanbook.com/book/62510?category=1541</w:t>
      </w:r>
    </w:p>
    <w:p w:rsidR="001B7D64" w:rsidRPr="00A24844" w:rsidRDefault="001B7D64" w:rsidP="001B7D64">
      <w:pPr>
        <w:numPr>
          <w:ilvl w:val="0"/>
          <w:numId w:val="1"/>
        </w:numPr>
        <w:ind w:left="0" w:firstLine="709"/>
        <w:jc w:val="both"/>
      </w:pPr>
      <w:proofErr w:type="spellStart"/>
      <w:r w:rsidRPr="00A24844">
        <w:t>Cперанский</w:t>
      </w:r>
      <w:proofErr w:type="spellEnd"/>
      <w:r w:rsidRPr="00A24844">
        <w:t xml:space="preserve"> Д.В., </w:t>
      </w:r>
      <w:proofErr w:type="spellStart"/>
      <w:r w:rsidRPr="00A24844">
        <w:t>Скобцов</w:t>
      </w:r>
      <w:proofErr w:type="spellEnd"/>
      <w:r w:rsidRPr="00A24844">
        <w:t xml:space="preserve"> Ю.А., </w:t>
      </w:r>
      <w:proofErr w:type="spellStart"/>
      <w:r w:rsidRPr="00A24844">
        <w:t>Скобцов</w:t>
      </w:r>
      <w:proofErr w:type="spellEnd"/>
      <w:r w:rsidRPr="00A24844">
        <w:t xml:space="preserve"> В.Ю. Моделирование, тестирование и диагностика цифровых устройств ИНТУИТ 2016 Режим доступа https://e.lanbook.com/book/100660?category=1541</w:t>
      </w:r>
    </w:p>
    <w:p w:rsidR="001B7D64" w:rsidRPr="00A24844" w:rsidRDefault="001B7D64" w:rsidP="001B7D64">
      <w:pPr>
        <w:numPr>
          <w:ilvl w:val="0"/>
          <w:numId w:val="1"/>
        </w:numPr>
        <w:ind w:left="0" w:firstLine="709"/>
        <w:jc w:val="both"/>
      </w:pPr>
      <w:r w:rsidRPr="00A24844">
        <w:t xml:space="preserve">Вонг А. Оптимизация BIOS. Полное руководство по всем параметрам BIOS и их настройкам </w:t>
      </w:r>
      <w:proofErr w:type="gramStart"/>
      <w:r w:rsidRPr="00A24844">
        <w:t>Омск :</w:t>
      </w:r>
      <w:proofErr w:type="gramEnd"/>
      <w:r w:rsidRPr="00A24844">
        <w:t xml:space="preserve"> Издательство </w:t>
      </w:r>
      <w:proofErr w:type="spellStart"/>
      <w:r w:rsidRPr="00A24844">
        <w:t>ОмГТУ</w:t>
      </w:r>
      <w:proofErr w:type="spellEnd"/>
      <w:r w:rsidRPr="00A24844">
        <w:t xml:space="preserve"> 2017 Режим доступа: https://e.lanbook.com/book/1084?category=1541</w:t>
      </w:r>
    </w:p>
    <w:p w:rsidR="001B7D64" w:rsidRPr="00A24844" w:rsidRDefault="001B7D64" w:rsidP="001B7D64">
      <w:pPr>
        <w:numPr>
          <w:ilvl w:val="0"/>
          <w:numId w:val="1"/>
        </w:numPr>
        <w:ind w:left="0" w:firstLine="709"/>
        <w:jc w:val="both"/>
      </w:pPr>
      <w:r w:rsidRPr="00A24844">
        <w:t xml:space="preserve">С.Р. </w:t>
      </w:r>
      <w:proofErr w:type="spellStart"/>
      <w:r w:rsidRPr="00A24844">
        <w:t>Гуриков</w:t>
      </w:r>
      <w:proofErr w:type="spellEnd"/>
      <w:r w:rsidRPr="00A24844">
        <w:t xml:space="preserve"> Тестирования аппаратных вычислительных устройств Москва ФОРУМ 2016</w:t>
      </w:r>
    </w:p>
    <w:p w:rsidR="001B7D64" w:rsidRPr="00A24844" w:rsidRDefault="001B7D64" w:rsidP="001B7D64">
      <w:pPr>
        <w:numPr>
          <w:ilvl w:val="0"/>
          <w:numId w:val="1"/>
        </w:numPr>
        <w:ind w:left="0" w:firstLine="709"/>
        <w:jc w:val="both"/>
      </w:pPr>
      <w:r w:rsidRPr="00A24844">
        <w:t>И. Г. Семакин А. П. Шестаков Основы тестирования и отладки вычислительных устройств Москва ACADEMIA Гриф 2016</w:t>
      </w:r>
    </w:p>
    <w:p w:rsidR="001B7D64" w:rsidRPr="00A24844" w:rsidRDefault="001B7D64" w:rsidP="001B7D64">
      <w:pPr>
        <w:numPr>
          <w:ilvl w:val="0"/>
          <w:numId w:val="1"/>
        </w:numPr>
        <w:ind w:left="0" w:firstLine="709"/>
        <w:jc w:val="both"/>
      </w:pPr>
      <w:r w:rsidRPr="00A24844">
        <w:t>А.В. Курилова, В.О. Оганесян Ввод и обработка цифровой информации: Москва ACADEMIA Гриф 2016</w:t>
      </w:r>
    </w:p>
    <w:p w:rsidR="006C0858" w:rsidRDefault="006C0858"/>
    <w:sectPr w:rsidR="006C08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664D15"/>
    <w:multiLevelType w:val="hybridMultilevel"/>
    <w:tmpl w:val="93FCA1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1C1"/>
    <w:rsid w:val="001B7D64"/>
    <w:rsid w:val="006C0858"/>
    <w:rsid w:val="00B51C18"/>
    <w:rsid w:val="00BC732B"/>
    <w:rsid w:val="00DC142F"/>
    <w:rsid w:val="00F041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67AD"/>
  <w15:docId w15:val="{5AF1BCFD-E503-47B2-84F1-D47570CB3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7D64"/>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1B7D64"/>
    <w:pPr>
      <w:spacing w:before="100" w:beforeAutospacing="1" w:after="100" w:afterAutospacing="1"/>
    </w:pPr>
  </w:style>
  <w:style w:type="character" w:styleId="a4">
    <w:name w:val="Strong"/>
    <w:uiPriority w:val="22"/>
    <w:qFormat/>
    <w:rsid w:val="001B7D64"/>
    <w:rPr>
      <w:b/>
      <w:bCs/>
    </w:rPr>
  </w:style>
  <w:style w:type="paragraph" w:customStyle="1" w:styleId="1">
    <w:name w:val="Обычный1"/>
    <w:rsid w:val="001B7D64"/>
    <w:rPr>
      <w:rFonts w:ascii="Calibri" w:eastAsia="Calibri" w:hAnsi="Calibri" w:cs="Calibr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1415</Words>
  <Characters>8072</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Антиплагиат</cp:lastModifiedBy>
  <cp:revision>4</cp:revision>
  <dcterms:created xsi:type="dcterms:W3CDTF">2025-02-05T10:52:00Z</dcterms:created>
  <dcterms:modified xsi:type="dcterms:W3CDTF">2025-02-07T05:42:00Z</dcterms:modified>
</cp:coreProperties>
</file>