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FD" w:rsidRDefault="000C2976" w:rsidP="001102FD">
      <w:pPr>
        <w:pStyle w:val="a4"/>
        <w:spacing w:line="360" w:lineRule="auto"/>
        <w:ind w:firstLine="709"/>
        <w:contextualSpacing/>
        <w:jc w:val="center"/>
        <w:rPr>
          <w:b/>
          <w:bCs/>
        </w:rPr>
      </w:pPr>
      <w:r>
        <w:rPr>
          <w:b/>
          <w:bCs/>
        </w:rPr>
        <w:t>Лабораторное занятие №</w:t>
      </w:r>
      <w:r w:rsidR="004612DF">
        <w:rPr>
          <w:b/>
          <w:bCs/>
        </w:rPr>
        <w:t>5</w:t>
      </w:r>
      <w:r w:rsidR="005F0E5F" w:rsidRPr="00A24844">
        <w:rPr>
          <w:b/>
          <w:bCs/>
        </w:rPr>
        <w:t>.</w:t>
      </w:r>
    </w:p>
    <w:p w:rsidR="001102FD" w:rsidRDefault="005F0E5F" w:rsidP="001102FD">
      <w:pPr>
        <w:pStyle w:val="a4"/>
        <w:spacing w:line="360" w:lineRule="auto"/>
        <w:ind w:firstLine="709"/>
        <w:contextualSpacing/>
        <w:jc w:val="center"/>
        <w:rPr>
          <w:b/>
          <w:bCs/>
        </w:rPr>
      </w:pPr>
      <w:r w:rsidRPr="00A24844">
        <w:rPr>
          <w:b/>
          <w:bCs/>
        </w:rPr>
        <w:t xml:space="preserve">Выявление и документирование проблем </w:t>
      </w:r>
    </w:p>
    <w:p w:rsidR="005F0E5F" w:rsidRPr="00A24844" w:rsidRDefault="005F0E5F" w:rsidP="001102FD">
      <w:pPr>
        <w:pStyle w:val="a4"/>
        <w:spacing w:line="360" w:lineRule="auto"/>
        <w:ind w:firstLine="709"/>
        <w:contextualSpacing/>
        <w:jc w:val="center"/>
        <w:rPr>
          <w:b/>
          <w:bCs/>
        </w:rPr>
      </w:pPr>
      <w:r w:rsidRPr="00A24844">
        <w:rPr>
          <w:b/>
          <w:bCs/>
        </w:rPr>
        <w:t xml:space="preserve">установки программного </w:t>
      </w:r>
      <w:r w:rsidR="001102FD">
        <w:rPr>
          <w:b/>
          <w:bCs/>
        </w:rPr>
        <w:t>о</w:t>
      </w:r>
      <w:r w:rsidRPr="00A24844">
        <w:rPr>
          <w:b/>
          <w:bCs/>
        </w:rPr>
        <w:t>беспечения</w:t>
      </w:r>
    </w:p>
    <w:p w:rsidR="005F0E5F" w:rsidRPr="00A24844" w:rsidRDefault="005F0E5F" w:rsidP="001102FD">
      <w:pPr>
        <w:pStyle w:val="1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844"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Лабораторное занятие </w:t>
      </w:r>
      <w:r w:rsidRPr="00A24844">
        <w:rPr>
          <w:rFonts w:ascii="Times New Roman" w:eastAsia="Times New Roman" w:hAnsi="Times New Roman" w:cs="Times New Roman"/>
          <w:sz w:val="24"/>
          <w:szCs w:val="24"/>
        </w:rPr>
        <w:t>рассчитано на 4 часа</w:t>
      </w:r>
    </w:p>
    <w:p w:rsidR="005F0E5F" w:rsidRPr="00A24844" w:rsidRDefault="005F0E5F" w:rsidP="001102FD">
      <w:pPr>
        <w:spacing w:line="360" w:lineRule="auto"/>
        <w:ind w:firstLine="709"/>
      </w:pPr>
      <w:r w:rsidRPr="00A24844">
        <w:rPr>
          <w:b/>
        </w:rPr>
        <w:t xml:space="preserve">Формируемые компетенции, умений: </w:t>
      </w:r>
      <w:r w:rsidRPr="00A24844">
        <w:t xml:space="preserve">ПК 4.1, ПК 4.3, </w:t>
      </w:r>
      <w:proofErr w:type="gramStart"/>
      <w:r w:rsidRPr="00A24844">
        <w:t>ОК</w:t>
      </w:r>
      <w:proofErr w:type="gramEnd"/>
      <w:r w:rsidRPr="00A24844">
        <w:t xml:space="preserve"> 1 – ОК 11, У1 –У5</w:t>
      </w:r>
    </w:p>
    <w:p w:rsidR="005F0E5F" w:rsidRPr="00A24844" w:rsidRDefault="005F0E5F" w:rsidP="001102FD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844"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  <w:r w:rsidRPr="00A248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24844">
        <w:rPr>
          <w:rFonts w:ascii="Times New Roman" w:hAnsi="Times New Roman" w:cs="Times New Roman"/>
          <w:sz w:val="24"/>
          <w:szCs w:val="24"/>
        </w:rPr>
        <w:t>Научиться устанавливать ПО и выявлять проблемы установки</w:t>
      </w:r>
    </w:p>
    <w:p w:rsidR="005F0E5F" w:rsidRPr="00A24844" w:rsidRDefault="005F0E5F" w:rsidP="001102FD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От версии к версии </w:t>
      </w:r>
      <w:proofErr w:type="spellStart"/>
      <w:r w:rsidRPr="00A24844">
        <w:t>Microsoft</w:t>
      </w:r>
      <w:proofErr w:type="spellEnd"/>
      <w:r w:rsidRPr="00A24844">
        <w:t xml:space="preserve"> старается улучшить стабильность и надежность операционной системы </w:t>
      </w:r>
      <w:proofErr w:type="spellStart"/>
      <w:r w:rsidRPr="00A24844">
        <w:t>Windows</w:t>
      </w:r>
      <w:proofErr w:type="spellEnd"/>
      <w:r w:rsidRPr="00A24844">
        <w:t xml:space="preserve">, правда иногда что-то начинает идти не так и возникают проблемы. Начиная с самых ранних версий ОС </w:t>
      </w:r>
      <w:proofErr w:type="spellStart"/>
      <w:r w:rsidRPr="00A24844">
        <w:t>Windows</w:t>
      </w:r>
      <w:proofErr w:type="spellEnd"/>
      <w:r w:rsidRPr="00A24844">
        <w:t xml:space="preserve"> NT, в них существовали инструменты поиска и устранения неисправностей, но они были запрятаны глубоко в недра системы и были довольно сложны в применении, практически недоступны начинающему пользователю. 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Все изменилось в </w:t>
      </w:r>
      <w:proofErr w:type="spellStart"/>
      <w:r w:rsidRPr="00A24844">
        <w:t>Windows</w:t>
      </w:r>
      <w:proofErr w:type="spellEnd"/>
      <w:r w:rsidRPr="00A24844">
        <w:t xml:space="preserve"> 7. В этой операционной системе появился новый компонент для устранения проблем - этот компонент </w:t>
      </w:r>
      <w:r w:rsidRPr="00A24844">
        <w:rPr>
          <w:rStyle w:val="a5"/>
        </w:rPr>
        <w:t>Устранение неполадок </w:t>
      </w:r>
      <w:r w:rsidRPr="00A24844">
        <w:t>(</w:t>
      </w:r>
      <w:proofErr w:type="spellStart"/>
      <w:r w:rsidRPr="00A24844">
        <w:t>Windows</w:t>
      </w:r>
      <w:proofErr w:type="spellEnd"/>
      <w:r w:rsidRPr="00A24844">
        <w:t xml:space="preserve"> </w:t>
      </w:r>
      <w:proofErr w:type="spellStart"/>
      <w:r w:rsidRPr="00A24844">
        <w:t>Troubleshooting</w:t>
      </w:r>
      <w:proofErr w:type="spellEnd"/>
      <w:r w:rsidRPr="00A24844">
        <w:t xml:space="preserve"> </w:t>
      </w:r>
      <w:proofErr w:type="spellStart"/>
      <w:r w:rsidRPr="00A24844">
        <w:t>Platform</w:t>
      </w:r>
      <w:proofErr w:type="spellEnd"/>
      <w:r w:rsidRPr="00A24844">
        <w:t>), который является расширяемой инфраструктурой для автоматизированной диагностики проблем аппаратных средств и программного обеспечения и попытки автоматически устранять некоторые распространенные проблемы, такие как проблемы, возникающие при работе с сетью, аппаратным обеспечением и устройствами, связанные с использованием Интернета, а также проблемы совместимости программ. 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Компонент обзавелся графическим интерфейсом и теперь </w:t>
      </w:r>
      <w:proofErr w:type="gramStart"/>
      <w:r w:rsidRPr="00A24844">
        <w:t>пользователю, выполняющему поиск неисправностей поможет</w:t>
      </w:r>
      <w:proofErr w:type="gramEnd"/>
      <w:r w:rsidRPr="00A24844">
        <w:t xml:space="preserve"> Мастер, который попытается идентифицировать источник проблемы, предоставит инструкции для решения проблемы или решит ее автоматически. Несмотря на то, что компонент</w:t>
      </w:r>
      <w:r w:rsidRPr="00A24844">
        <w:rPr>
          <w:rStyle w:val="a5"/>
        </w:rPr>
        <w:t> Устранения неполадок</w:t>
      </w:r>
      <w:r w:rsidRPr="00A24844">
        <w:t> не рассчитаны на решение всех возможных проблем, рекомендуется использовать его в качестве первого этапа работ по устранению неполадок, так как это может сэкономить время и избавить пользователя от лишних действий.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Открыть компонент </w:t>
      </w:r>
      <w:r w:rsidRPr="00A24844">
        <w:rPr>
          <w:rStyle w:val="a5"/>
        </w:rPr>
        <w:t>Устранение неполадок </w:t>
      </w:r>
      <w:r w:rsidRPr="00A24844">
        <w:t>можно из нескольких мест: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</w:rPr>
      </w:pPr>
      <w:r w:rsidRPr="00A24844">
        <w:t>1.</w:t>
      </w:r>
      <w:r w:rsidRPr="00A24844">
        <w:rPr>
          <w:rStyle w:val="a5"/>
        </w:rPr>
        <w:t> Панель управления - Устранение неполадок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</w:rPr>
      </w:pPr>
      <w:r w:rsidRPr="00A24844">
        <w:t>2. </w:t>
      </w:r>
      <w:r w:rsidRPr="00A24844">
        <w:rPr>
          <w:rStyle w:val="a5"/>
        </w:rPr>
        <w:t>Панель управления - Восстановление - Устранение неполадок 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</w:rPr>
      </w:pPr>
      <w:r w:rsidRPr="00A24844">
        <w:t>3. </w:t>
      </w:r>
      <w:r w:rsidRPr="00A24844">
        <w:rPr>
          <w:rStyle w:val="a5"/>
        </w:rPr>
        <w:t>Центр поддержки - Устранение неполадок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Кроме того, запустить компонент можно и из некоторых работающих приложений. Например, если IE не может открыть веб-сайт, щелкните кнопку</w:t>
      </w:r>
      <w:r w:rsidRPr="00A24844">
        <w:rPr>
          <w:rStyle w:val="a5"/>
        </w:rPr>
        <w:t> Диагностика проблем подключения</w:t>
      </w:r>
      <w:r w:rsidRPr="00A24844">
        <w:t>. Запустится мастер Диагностики сетей, который входит в пакет поиска неисправностей компонента Устранение неполадок.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lastRenderedPageBreak/>
        <w:t>Для знакомства запустим компонент</w:t>
      </w:r>
      <w:r w:rsidRPr="00A24844">
        <w:rPr>
          <w:rStyle w:val="a5"/>
        </w:rPr>
        <w:t> Устранение неполадок</w:t>
      </w:r>
      <w:r w:rsidRPr="00A24844">
        <w:t> из </w:t>
      </w:r>
      <w:r w:rsidRPr="00A24844">
        <w:rPr>
          <w:rStyle w:val="a5"/>
        </w:rPr>
        <w:t>Панели управления</w:t>
      </w:r>
      <w:r w:rsidRPr="00A24844">
        <w:t>: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</w:rPr>
      </w:pPr>
      <w:r w:rsidRPr="00A24844">
        <w:t>Щелкните Пуск - </w:t>
      </w:r>
      <w:r w:rsidRPr="00A24844">
        <w:rPr>
          <w:rStyle w:val="a5"/>
        </w:rPr>
        <w:t>Панель управления - Крупные значки - Устранение неполадок.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Откроется окно компонента </w:t>
      </w:r>
      <w:r w:rsidRPr="00A24844">
        <w:rPr>
          <w:rStyle w:val="a5"/>
        </w:rPr>
        <w:t>Устранение неполадок, рисунок 1. Е</w:t>
      </w:r>
      <w:r w:rsidRPr="00A24844">
        <w:t xml:space="preserve">сли пользователь открыл это окно впервые, то будет предложено получить доступ к </w:t>
      </w:r>
      <w:proofErr w:type="spellStart"/>
      <w:r w:rsidRPr="00A24844">
        <w:t>Windows</w:t>
      </w:r>
      <w:proofErr w:type="spellEnd"/>
      <w:r w:rsidRPr="00A24844">
        <w:t xml:space="preserve"> </w:t>
      </w:r>
      <w:proofErr w:type="spellStart"/>
      <w:r w:rsidRPr="00A24844">
        <w:t>Online</w:t>
      </w:r>
      <w:proofErr w:type="spellEnd"/>
      <w:r w:rsidRPr="00A24844">
        <w:t xml:space="preserve"> </w:t>
      </w:r>
      <w:proofErr w:type="spellStart"/>
      <w:r w:rsidRPr="00A24844">
        <w:t>Troubleshooting</w:t>
      </w:r>
      <w:proofErr w:type="spellEnd"/>
      <w:r w:rsidRPr="00A24844">
        <w:t xml:space="preserve"> </w:t>
      </w:r>
      <w:proofErr w:type="spellStart"/>
      <w:r w:rsidRPr="00A24844">
        <w:t>Service</w:t>
      </w:r>
      <w:proofErr w:type="spellEnd"/>
      <w:r w:rsidRPr="00A24844">
        <w:t xml:space="preserve"> (WOTS) - это бесплатный онлайн сервис, позволяющий </w:t>
      </w:r>
      <w:proofErr w:type="spellStart"/>
      <w:r w:rsidRPr="00A24844">
        <w:t>Windows</w:t>
      </w:r>
      <w:proofErr w:type="spellEnd"/>
      <w:r w:rsidRPr="00A24844">
        <w:t xml:space="preserve"> 7 загружать новые или обновленные пакеты поиска неисправностей. Нажмите кнопку</w:t>
      </w:r>
      <w:proofErr w:type="gramStart"/>
      <w:r w:rsidRPr="00A24844">
        <w:t> </w:t>
      </w:r>
      <w:r w:rsidRPr="00A24844">
        <w:rPr>
          <w:rStyle w:val="a5"/>
        </w:rPr>
        <w:t>Д</w:t>
      </w:r>
      <w:proofErr w:type="gramEnd"/>
      <w:r w:rsidRPr="00A24844">
        <w:rPr>
          <w:rStyle w:val="a5"/>
        </w:rPr>
        <w:t>а</w:t>
      </w:r>
      <w:r w:rsidRPr="00A24844">
        <w:t>, если хотите связаться с WOTS или</w:t>
      </w:r>
      <w:r w:rsidRPr="00A24844">
        <w:rPr>
          <w:rStyle w:val="a5"/>
        </w:rPr>
        <w:t> Нет</w:t>
      </w:r>
      <w:r w:rsidRPr="00A24844">
        <w:t>, если хотите пользоваться только встроенными средствами поиска неисправностей.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3432175"/>
            <wp:effectExtent l="0" t="0" r="0" b="0"/>
            <wp:docPr id="17" name="Рисунок 17" descr="Компонент Устранение неполадок в Windows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1 - Окно компонента </w:t>
      </w:r>
      <w:r w:rsidRPr="00A24844">
        <w:rPr>
          <w:rStyle w:val="a5"/>
        </w:rPr>
        <w:t>Устранение неполадок</w:t>
      </w:r>
    </w:p>
    <w:p w:rsidR="005F0E5F" w:rsidRPr="00A24844" w:rsidRDefault="005F0E5F" w:rsidP="005F0E5F">
      <w:pPr>
        <w:spacing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Для того, чтобы получать из интернета сведения или новые средства устранения неполадок внизу окна должен быть установлен флажок</w:t>
      </w:r>
      <w:proofErr w:type="gramStart"/>
      <w:r w:rsidRPr="00A24844">
        <w:t> </w:t>
      </w:r>
      <w:r w:rsidRPr="00A24844">
        <w:rPr>
          <w:rStyle w:val="a5"/>
        </w:rPr>
        <w:t>П</w:t>
      </w:r>
      <w:proofErr w:type="gramEnd"/>
      <w:r w:rsidRPr="00A24844">
        <w:rPr>
          <w:rStyle w:val="a5"/>
        </w:rPr>
        <w:t xml:space="preserve">олучить самые последние средства устранения неполадок через интернет-службу устранения неполадок </w:t>
      </w:r>
      <w:proofErr w:type="spellStart"/>
      <w:r w:rsidRPr="00A24844">
        <w:rPr>
          <w:rStyle w:val="a5"/>
        </w:rPr>
        <w:t>Windows</w:t>
      </w:r>
      <w:proofErr w:type="spellEnd"/>
      <w:r w:rsidRPr="00A24844">
        <w:t xml:space="preserve">. 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Кроме того проверьте  параметры настройки компонента</w:t>
      </w:r>
      <w:r w:rsidRPr="00A24844">
        <w:rPr>
          <w:rStyle w:val="a5"/>
        </w:rPr>
        <w:t> Устранения неполадок</w:t>
      </w:r>
      <w:r w:rsidRPr="00A24844">
        <w:t>. Для этого нажмите ссылку в левой части окна</w:t>
      </w:r>
      <w:r w:rsidRPr="00A24844">
        <w:rPr>
          <w:rStyle w:val="a5"/>
        </w:rPr>
        <w:t> Настройка, рисунок 2</w:t>
      </w:r>
      <w:r w:rsidRPr="00A24844">
        <w:t>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>
            <wp:extent cx="1947545" cy="2517775"/>
            <wp:effectExtent l="0" t="0" r="0" b="0"/>
            <wp:docPr id="16" name="Рисунок 16" descr="http://wininfo.org.ua/uploads/posts/2011-11/1320530507_up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ininfo.org.ua/uploads/posts/2011-11/1320530507_upr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2 - Окно</w:t>
      </w:r>
      <w:r w:rsidRPr="00A24844">
        <w:rPr>
          <w:rStyle w:val="a5"/>
        </w:rPr>
        <w:t> Настройка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Убедитесь в том, что флажок</w:t>
      </w:r>
      <w:proofErr w:type="gramStart"/>
      <w:r w:rsidRPr="00A24844">
        <w:t> </w:t>
      </w:r>
      <w:r w:rsidRPr="00A24844">
        <w:rPr>
          <w:rStyle w:val="a5"/>
        </w:rPr>
        <w:t>Р</w:t>
      </w:r>
      <w:proofErr w:type="gramEnd"/>
      <w:r w:rsidRPr="00A24844">
        <w:rPr>
          <w:rStyle w:val="a5"/>
        </w:rPr>
        <w:t xml:space="preserve">азрешить пользователям просматривать средства устранения неполадок, доступные через интернет - службы устранения неполадок </w:t>
      </w:r>
      <w:proofErr w:type="spellStart"/>
      <w:r w:rsidRPr="00A24844">
        <w:rPr>
          <w:rStyle w:val="a5"/>
        </w:rPr>
        <w:t>Windows</w:t>
      </w:r>
      <w:proofErr w:type="spellEnd"/>
      <w:r w:rsidRPr="00A24844">
        <w:t xml:space="preserve"> поставлен, рисунок 3.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 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2054225"/>
            <wp:effectExtent l="0" t="0" r="0" b="3175"/>
            <wp:docPr id="15" name="Рисунок 15" descr="Компонент Устранение неполадок в Windows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3 – Установка флажка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Пакеты поиска неисправностей разбиты по категориям: </w:t>
      </w:r>
    </w:p>
    <w:p w:rsidR="005F0E5F" w:rsidRPr="00A24844" w:rsidRDefault="005F0E5F" w:rsidP="005F0E5F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</w:rPr>
      </w:pPr>
      <w:r w:rsidRPr="00A24844">
        <w:rPr>
          <w:rStyle w:val="a5"/>
        </w:rPr>
        <w:t>Программы;</w:t>
      </w:r>
    </w:p>
    <w:p w:rsidR="005F0E5F" w:rsidRPr="00A24844" w:rsidRDefault="005F0E5F" w:rsidP="005F0E5F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</w:rPr>
      </w:pPr>
      <w:r w:rsidRPr="00A24844">
        <w:rPr>
          <w:rStyle w:val="a5"/>
        </w:rPr>
        <w:t>Оборудование и звук;</w:t>
      </w:r>
    </w:p>
    <w:p w:rsidR="005F0E5F" w:rsidRPr="00A24844" w:rsidRDefault="005F0E5F" w:rsidP="005F0E5F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</w:rPr>
      </w:pPr>
      <w:r w:rsidRPr="00A24844">
        <w:rPr>
          <w:rStyle w:val="a5"/>
        </w:rPr>
        <w:t>Сеть и интернет;</w:t>
      </w:r>
    </w:p>
    <w:p w:rsidR="005F0E5F" w:rsidRPr="00A24844" w:rsidRDefault="005F0E5F" w:rsidP="005F0E5F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</w:rPr>
      </w:pPr>
      <w:r w:rsidRPr="00A24844">
        <w:rPr>
          <w:rStyle w:val="a5"/>
        </w:rPr>
        <w:t>Оформление и персонализация;</w:t>
      </w:r>
    </w:p>
    <w:p w:rsidR="005F0E5F" w:rsidRPr="00A24844" w:rsidRDefault="005F0E5F" w:rsidP="005F0E5F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</w:pPr>
      <w:r w:rsidRPr="00A24844">
        <w:rPr>
          <w:rStyle w:val="a5"/>
        </w:rPr>
        <w:t>Система и безопасность.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Для просмотра полного списка пакетов, нажмите ссылку в левой части окна </w:t>
      </w:r>
      <w:r w:rsidRPr="00A24844">
        <w:rPr>
          <w:rStyle w:val="a5"/>
        </w:rPr>
        <w:t>Просмотр всех категорий</w:t>
      </w:r>
      <w:r w:rsidRPr="00A24844">
        <w:t>, рисунок 4.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 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1947545" cy="2624455"/>
            <wp:effectExtent l="0" t="0" r="0" b="4445"/>
            <wp:docPr id="14" name="Рисунок 14" descr="http://wininfo.org.ua/uploads/posts/2011-11/1320530416_up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wininfo.org.ua/uploads/posts/2011-11/1320530416_upr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4 - Окно </w:t>
      </w:r>
      <w:r w:rsidRPr="00A24844">
        <w:rPr>
          <w:rStyle w:val="a5"/>
        </w:rPr>
        <w:t>Просмотр всех категорий</w:t>
      </w:r>
      <w:r w:rsidRPr="00A24844">
        <w:t xml:space="preserve"> 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Откроется окно, содержащее полный список пакетов устранения неполадок. При этом </w:t>
      </w:r>
      <w:proofErr w:type="spellStart"/>
      <w:r w:rsidRPr="00A24844">
        <w:t>Windows</w:t>
      </w:r>
      <w:proofErr w:type="spellEnd"/>
      <w:r w:rsidRPr="00A24844">
        <w:t xml:space="preserve"> подключается к сети и проверяет наличие новых пакетов устранения неполадок. Подведите указатель мыши к интересующему пакету и увидите параметры пакета, включающие и его описание, рисунок 5.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1104265"/>
            <wp:effectExtent l="0" t="0" r="0" b="635"/>
            <wp:docPr id="13" name="Рисунок 13" descr="Компонент Устранение неполадок в Windows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304FA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93143C5" wp14:editId="1799FBA1">
            <wp:extent cx="4681728" cy="28250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99" cy="28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5 – Параметры пакета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При запуске какого-либо пакета устранения неполадок запустится мастер, который может задать несколько вопросов, например, предложит выбрать один из вариантов описания проблемы или выполнить проверку с правами администратора, рисунок 6, 7.</w:t>
      </w:r>
    </w:p>
    <w:p w:rsidR="005F0E5F" w:rsidRPr="00A24844" w:rsidRDefault="005304FA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538AC7E" wp14:editId="2A3E403B">
            <wp:extent cx="4403683" cy="3321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421" cy="33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6 - Вариант описания проблемы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304FA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FC360AE" wp14:editId="50591E5B">
            <wp:extent cx="4270790" cy="335036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968" cy="33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7 - Проверка с правами администратора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По умолчанию, в случае найденных ошибок, мастер устранения неполадок применяет изменения автоматически. Если щелкнуть ссылку </w:t>
      </w:r>
      <w:r w:rsidRPr="00A24844">
        <w:rPr>
          <w:rStyle w:val="a5"/>
        </w:rPr>
        <w:t>Дополнительно</w:t>
      </w:r>
      <w:r w:rsidRPr="00A24844">
        <w:t> в первом окне мастера и снять флажок</w:t>
      </w:r>
      <w:proofErr w:type="gramStart"/>
      <w:r w:rsidRPr="00A24844">
        <w:rPr>
          <w:rStyle w:val="a5"/>
        </w:rPr>
        <w:t> А</w:t>
      </w:r>
      <w:proofErr w:type="gramEnd"/>
      <w:r w:rsidRPr="00A24844">
        <w:rPr>
          <w:rStyle w:val="a5"/>
        </w:rPr>
        <w:t>втоматически исправлять ошибки</w:t>
      </w:r>
      <w:r w:rsidRPr="00A24844">
        <w:t>, то при обнаружении неполадки будет предложен список возможных путей ее устранения, рисунок 8.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013835" cy="3040380"/>
            <wp:effectExtent l="0" t="0" r="5715" b="7620"/>
            <wp:docPr id="9" name="Рисунок 9" descr="Компонент Устранение неполадок в Windows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8 - Список возможных путей устранения неполадки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В любом случае  по окончании диагностического теста выводится отчет.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Для демонстрации работы компонента Устранения неполадок вручную остановим службу </w:t>
      </w:r>
      <w:r w:rsidRPr="00A24844">
        <w:rPr>
          <w:rStyle w:val="a5"/>
          <w:i/>
          <w:iCs/>
        </w:rPr>
        <w:t>Диспетчер сеансов диспетчера окон рабочего стола</w:t>
      </w:r>
      <w:r w:rsidRPr="00A24844">
        <w:t>. В целом эффект AERO работает, но исчезла прозрачность окон. Для устранения этой неполадки воспользуемся пакетом устранения неполадок </w:t>
      </w:r>
      <w:proofErr w:type="spellStart"/>
      <w:r w:rsidRPr="00A24844">
        <w:rPr>
          <w:rStyle w:val="a5"/>
        </w:rPr>
        <w:t>Aero</w:t>
      </w:r>
      <w:proofErr w:type="spellEnd"/>
      <w:r w:rsidRPr="00A24844">
        <w:t>. Щелчок по ссылке откроет первое окно мастера. Оставим все без изменений и нажмем кнопку</w:t>
      </w:r>
      <w:proofErr w:type="gramStart"/>
      <w:r w:rsidRPr="00A24844">
        <w:t> </w:t>
      </w:r>
      <w:r w:rsidRPr="00A24844">
        <w:rPr>
          <w:rStyle w:val="a5"/>
        </w:rPr>
        <w:t>Д</w:t>
      </w:r>
      <w:proofErr w:type="gramEnd"/>
      <w:r w:rsidRPr="00A24844">
        <w:rPr>
          <w:rStyle w:val="a5"/>
        </w:rPr>
        <w:t>алее, рисунок 9</w:t>
      </w:r>
      <w:r w:rsidRPr="00A24844">
        <w:rPr>
          <w:b/>
        </w:rPr>
        <w:t>.</w:t>
      </w:r>
    </w:p>
    <w:p w:rsidR="005F0E5F" w:rsidRPr="00A24844" w:rsidRDefault="005304FA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2620986" wp14:editId="5B0180ED">
            <wp:extent cx="3514480" cy="264078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420" cy="26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spacing w:line="360" w:lineRule="auto"/>
        <w:ind w:firstLine="709"/>
        <w:jc w:val="both"/>
      </w:pPr>
      <w:r w:rsidRPr="00A24844">
        <w:t>Рисунок 9 - Пакет устранения неполадок </w:t>
      </w:r>
      <w:proofErr w:type="spellStart"/>
      <w:r w:rsidRPr="00A24844">
        <w:rPr>
          <w:rStyle w:val="a5"/>
        </w:rPr>
        <w:t>Aero</w:t>
      </w:r>
      <w:proofErr w:type="spellEnd"/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Мастер продолжит свою работу и начнет диагностику неполадок, рисунок 10.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3253740"/>
            <wp:effectExtent l="0" t="0" r="0" b="3810"/>
            <wp:docPr id="7" name="Рисунок 7" descr="Компонент Устранение неполадок в Windows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10 – Работа пакета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Обычно проверка не занимает много времени. Т.к. мы </w:t>
      </w:r>
      <w:proofErr w:type="gramStart"/>
      <w:r w:rsidRPr="00A24844">
        <w:t>использовали параметры по умолчанию проблема будет</w:t>
      </w:r>
      <w:proofErr w:type="gramEnd"/>
      <w:r w:rsidRPr="00A24844">
        <w:t xml:space="preserve"> решена автоматически и выведен отчет об устраненной неполадке, рисунок 11.</w:t>
      </w:r>
    </w:p>
    <w:p w:rsidR="005F0E5F" w:rsidRPr="00A24844" w:rsidRDefault="005304FA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23DAF99" wp14:editId="1C490EFE">
            <wp:extent cx="4475747" cy="3401568"/>
            <wp:effectExtent l="0" t="0" r="127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5829" cy="34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11 – Отчет о работе пакета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Если бы мы воспользовались ссылкой</w:t>
      </w:r>
      <w:r w:rsidRPr="00A24844">
        <w:rPr>
          <w:rStyle w:val="a5"/>
        </w:rPr>
        <w:t> Дополнительно</w:t>
      </w:r>
      <w:r w:rsidRPr="00A24844">
        <w:t> и сняли флажок</w:t>
      </w:r>
      <w:proofErr w:type="gramStart"/>
      <w:r w:rsidRPr="00A24844">
        <w:t> </w:t>
      </w:r>
      <w:r w:rsidRPr="00A24844">
        <w:rPr>
          <w:rStyle w:val="a5"/>
        </w:rPr>
        <w:t>А</w:t>
      </w:r>
      <w:proofErr w:type="gramEnd"/>
      <w:r w:rsidRPr="00A24844">
        <w:rPr>
          <w:rStyle w:val="a5"/>
        </w:rPr>
        <w:t>втоматически применять исправления</w:t>
      </w:r>
      <w:r w:rsidRPr="00A24844">
        <w:t> - нам был бы предложен список возможных путей устранения этой неполадки. Установив флажки и щелкнув кнопку</w:t>
      </w:r>
      <w:proofErr w:type="gramStart"/>
      <w:r w:rsidRPr="00A24844">
        <w:t> </w:t>
      </w:r>
      <w:r w:rsidRPr="00A24844">
        <w:rPr>
          <w:rStyle w:val="a5"/>
        </w:rPr>
        <w:t>Д</w:t>
      </w:r>
      <w:proofErr w:type="gramEnd"/>
      <w:r w:rsidRPr="00A24844">
        <w:rPr>
          <w:rStyle w:val="a5"/>
        </w:rPr>
        <w:t>алее</w:t>
      </w:r>
      <w:r w:rsidRPr="00A24844">
        <w:t> мы бы применили предложенные исправления, рисунок 12.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3194685"/>
            <wp:effectExtent l="0" t="0" r="0" b="5715"/>
            <wp:docPr id="5" name="Рисунок 5" descr="Компонент Устранение неполадок в Windows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Рисунок12- Применение исправлений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Можно запустить любой пакет, чтобы </w:t>
      </w:r>
      <w:proofErr w:type="gramStart"/>
      <w:r w:rsidRPr="00A24844">
        <w:t>посмотреть</w:t>
      </w:r>
      <w:proofErr w:type="gramEnd"/>
      <w:r w:rsidRPr="00A24844">
        <w:t xml:space="preserve"> как он работает. 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 xml:space="preserve">Все произведенные тесты сохраняются в журнале просмотреть который можно щелкнув </w:t>
      </w:r>
      <w:proofErr w:type="gramStart"/>
      <w:r w:rsidRPr="00A24844">
        <w:t>ссылку</w:t>
      </w:r>
      <w:proofErr w:type="gramEnd"/>
      <w:r w:rsidRPr="00A24844">
        <w:rPr>
          <w:rStyle w:val="a5"/>
        </w:rPr>
        <w:t> Просмотр журнала </w:t>
      </w:r>
      <w:r w:rsidRPr="00A24844">
        <w:t>в левой части окна компонента Устранения неполадок. Подробный отчет можно увидеть, дважды щелкнув по его названию в списке или нажав кнопку </w:t>
      </w:r>
      <w:r w:rsidRPr="00A24844">
        <w:rPr>
          <w:rStyle w:val="a5"/>
        </w:rPr>
        <w:t>Подробности</w:t>
      </w:r>
      <w:r w:rsidRPr="00A24844">
        <w:t> (одноименный пункт есть и в контекстном меню), рисунок 13.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bookmarkStart w:id="0" w:name="_GoBack"/>
      <w:r>
        <w:rPr>
          <w:noProof/>
        </w:rPr>
        <w:drawing>
          <wp:inline distT="0" distB="0" distL="0" distR="0">
            <wp:extent cx="4286885" cy="3051810"/>
            <wp:effectExtent l="0" t="0" r="0" b="0"/>
            <wp:docPr id="4" name="Рисунок 4" descr="Компонент Устранение неполадок в Windows 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13 – Просмотр отчета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Если компоненту </w:t>
      </w:r>
      <w:r w:rsidRPr="00A24844">
        <w:rPr>
          <w:rStyle w:val="a5"/>
        </w:rPr>
        <w:t>Устранения неполадок </w:t>
      </w:r>
      <w:r w:rsidRPr="00A24844">
        <w:t>удалось решить проблему, можно закрыть его. В противном случае воспользуйтесь ссылкой</w:t>
      </w:r>
      <w:proofErr w:type="gramStart"/>
      <w:r w:rsidRPr="00A24844">
        <w:t> </w:t>
      </w:r>
      <w:r w:rsidRPr="00A24844">
        <w:rPr>
          <w:rStyle w:val="a5"/>
        </w:rPr>
        <w:t>П</w:t>
      </w:r>
      <w:proofErr w:type="gramEnd"/>
      <w:r w:rsidRPr="00A24844">
        <w:rPr>
          <w:rStyle w:val="a5"/>
        </w:rPr>
        <w:t>росмотреть дополнительные параметры</w:t>
      </w:r>
      <w:r w:rsidRPr="00A24844">
        <w:t>, на экране будет отображен запрос с несколькими вариантами поиска решения по устранению неполадки в Интернете, рисунок 14.</w:t>
      </w:r>
    </w:p>
    <w:p w:rsidR="005F0E5F" w:rsidRPr="00A24844" w:rsidRDefault="005F0E5F" w:rsidP="005F0E5F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286885" cy="3253740"/>
            <wp:effectExtent l="0" t="0" r="0" b="3810"/>
            <wp:docPr id="3" name="Рисунок 3" descr="Компонент Устранение неполадок в Windows 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Компонент Устранение неполадок в Windows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Рисунок 14 – Поиск решения в Интернет</w:t>
      </w: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5F0E5F" w:rsidRPr="00A24844" w:rsidRDefault="005F0E5F" w:rsidP="005F0E5F">
      <w:pPr>
        <w:pStyle w:val="a4"/>
        <w:spacing w:before="0" w:beforeAutospacing="0" w:after="0" w:afterAutospacing="0" w:line="360" w:lineRule="auto"/>
        <w:ind w:firstLine="709"/>
        <w:jc w:val="both"/>
      </w:pPr>
      <w:r w:rsidRPr="00A24844">
        <w:t>В левой части окна компонента</w:t>
      </w:r>
      <w:r w:rsidRPr="00A24844">
        <w:rPr>
          <w:rStyle w:val="a5"/>
        </w:rPr>
        <w:t> Устранения неполадок</w:t>
      </w:r>
      <w:r w:rsidRPr="00A24844">
        <w:t> присутствует еще одна ссылка</w:t>
      </w:r>
      <w:proofErr w:type="gramStart"/>
      <w:r w:rsidRPr="00A24844">
        <w:rPr>
          <w:rStyle w:val="a5"/>
        </w:rPr>
        <w:t> О</w:t>
      </w:r>
      <w:proofErr w:type="gramEnd"/>
      <w:r w:rsidRPr="00A24844">
        <w:rPr>
          <w:rStyle w:val="a5"/>
        </w:rPr>
        <w:t>братиться за помощью к другу</w:t>
      </w:r>
      <w:r w:rsidRPr="00A24844">
        <w:t>. Если у вас есть друзья, которые хорошо разбираются в компьютерах, предоставьте другу доступ через Интернет к своему компьютеру с помощью </w:t>
      </w:r>
      <w:r w:rsidRPr="00A24844">
        <w:rPr>
          <w:rStyle w:val="a5"/>
        </w:rPr>
        <w:t xml:space="preserve">Удаленного помощника </w:t>
      </w:r>
      <w:proofErr w:type="spellStart"/>
      <w:r w:rsidRPr="00A24844">
        <w:rPr>
          <w:rStyle w:val="a5"/>
        </w:rPr>
        <w:t>Windows</w:t>
      </w:r>
      <w:proofErr w:type="spellEnd"/>
      <w:r w:rsidRPr="00A24844">
        <w:t>, чтобы друг помог решить проблему. При этом вы можете следить за его действиями и принимать участие в этом процессе. Так же можно использовать</w:t>
      </w:r>
      <w:r w:rsidRPr="00A24844">
        <w:rPr>
          <w:rStyle w:val="a5"/>
        </w:rPr>
        <w:t> Средство записи действий по воспроизведению неполадок</w:t>
      </w:r>
      <w:r w:rsidRPr="00A24844">
        <w:t>, которое может помочь в выявлении и устранении проблем.</w:t>
      </w:r>
    </w:p>
    <w:p w:rsidR="005F0E5F" w:rsidRPr="00A24844" w:rsidRDefault="005F0E5F" w:rsidP="005F0E5F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F0E5F" w:rsidRPr="004612DF" w:rsidRDefault="004612DF" w:rsidP="005F0E5F">
      <w:pPr>
        <w:spacing w:line="360" w:lineRule="auto"/>
        <w:ind w:firstLine="709"/>
        <w:jc w:val="both"/>
        <w:rPr>
          <w:b/>
        </w:rPr>
      </w:pPr>
      <w:r w:rsidRPr="004612DF">
        <w:rPr>
          <w:b/>
        </w:rPr>
        <w:t>Описание ГОСТов.</w:t>
      </w:r>
    </w:p>
    <w:tbl>
      <w:tblPr>
        <w:tblW w:w="5037" w:type="pct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2658"/>
        <w:gridCol w:w="3713"/>
        <w:gridCol w:w="1355"/>
        <w:gridCol w:w="1683"/>
      </w:tblGrid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0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ГОСТ 28195-89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Оценка качества программных средств. Общие положения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01.07.1990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Quality control of software systems.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General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principles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устанавливает общие положения по оценке качества программных средств вычислительной техники (далее - ПС), поставляемых через фонды алгоритмов и программ (ФАП), номенклатуру и применяемость показателей качества ПС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1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ГОСТ 28806-90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Качество программных средств. Термины и определения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01.01.1992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quality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Terms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definitions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устанавливает термины и определения понятий в области качества программных средств.</w:t>
            </w:r>
            <w:r w:rsidRPr="005023E4">
              <w:rPr>
                <w:color w:val="212529"/>
                <w:sz w:val="20"/>
                <w:szCs w:val="20"/>
              </w:rPr>
              <w:br/>
              <w:t>Термины, установленные настоящим стандартом, обязательны для применения во всех видах документации и литературы по вычислительной технике и программным средствам, входящих в сферу работ по стандартизации и использующих результаты этих работ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2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51188-98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Защита информации. Испытания программных средств на наличие компьютерных вирусов. Типовое руководство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01.07.1999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security. Software testing for the existence of computer viruses.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sample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manual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распространяется на испытания программных средств (ПС) и их компонентов, цели которых - обнаружить в этих ПС и устранить из них компьютерные вирусы силами специальных предприятий (подразделений), и устанавливает общие требования к организации и проведению таких испытаний.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предназначен для применения в испытательных лабораториях, проводящих сертификационные испытания ПС на выполнение требований защиты информации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3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51189-98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Средства программные систем вооружения. Порядок разработки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01.07.1999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Software for military systems.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order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creating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распространяется на любые программные средства, программные изделия, программы и другие виды и (или) компоненты программной продукции, предназначенные для использования в составе систем вооружения, и устанавливает общие правила разработки, документирования и изготовления (воспроизведения) программных средств систем вооружения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4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51904-2002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Программное обеспечение встроенных систем. Общие требования к разработке и документированию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Embedded system software.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General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requirements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to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development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documentation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Настоящий стандарт распространяется на процессы разработки и документирования программного обеспечения (ПО) встроенных систем реального времени.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Стандарт распространяется на все действия, имеющие отношение к разработке программного обеспечения.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Настоящий стандарт применяют полностью ко всему поставляемому программному обеспечению, включая среду разработки, если контрактом не предусмотрено использование специальных стандартов для определенных заказчиком типов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ПО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>. Стандарт не применим для аппаратных элементов программно-аппаратного обеспечения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5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52657-2006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Информационно-коммуникационные технологии в образовании. </w:t>
            </w:r>
            <w:proofErr w:type="gramStart"/>
            <w:r w:rsidRPr="005023E4">
              <w:rPr>
                <w:b/>
                <w:bCs/>
                <w:color w:val="212529"/>
                <w:sz w:val="20"/>
                <w:szCs w:val="20"/>
              </w:rPr>
              <w:t>Образовательные</w:t>
            </w:r>
            <w:proofErr w:type="gramEnd"/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 интернет-порталы федерального уровня. Рубрикация информационных ресурсов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01.07.2008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and communication technologies in education.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Federal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level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educational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internet-portals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resources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system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heading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 xml:space="preserve"> Настоящий стандарт устанавливает общие требования к составу и виду рубрик информационных ресурсов образовательных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Интернет-порталов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федерального уровня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6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 9127-94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Системы обработки информации. Документация пользователя и информация на упаковке для потребительских программных пакетов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01.07.1995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processing systems.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User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documantation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cover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consumer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packages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описывает документацию пользователя и информацию на упаковке, которой должны быть снабжены потребительские программные пакеты:</w:t>
            </w:r>
            <w:r w:rsidRPr="005023E4">
              <w:rPr>
                <w:color w:val="212529"/>
                <w:sz w:val="20"/>
                <w:szCs w:val="20"/>
              </w:rPr>
              <w:br/>
              <w:t>- Документация пользователя - эта документация обеспечивает пользователей информацией, необходимой для установки и прогона программного средства.</w:t>
            </w:r>
            <w:r w:rsidRPr="005023E4">
              <w:rPr>
                <w:color w:val="212529"/>
                <w:sz w:val="20"/>
                <w:szCs w:val="20"/>
              </w:rPr>
              <w:br/>
              <w:t>- Информация на упаковке - данную информацию приводят на внешней упаковке пакета с целью предоставления потенциальным покупателям возможности принять решение о применимости данного программного средства в соответствии с их потребностями.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не распространяется на:</w:t>
            </w:r>
            <w:r w:rsidRPr="005023E4">
              <w:rPr>
                <w:color w:val="212529"/>
                <w:sz w:val="20"/>
                <w:szCs w:val="20"/>
              </w:rPr>
              <w:br/>
              <w:t>- торговые публикации;</w:t>
            </w:r>
            <w:r w:rsidRPr="005023E4">
              <w:rPr>
                <w:color w:val="212529"/>
                <w:sz w:val="20"/>
                <w:szCs w:val="20"/>
              </w:rPr>
              <w:br/>
              <w:t>- брошюры и листовки, целью которых является содействие распространению пакета;</w:t>
            </w:r>
            <w:r w:rsidRPr="005023E4">
              <w:rPr>
                <w:color w:val="212529"/>
                <w:sz w:val="20"/>
                <w:szCs w:val="20"/>
              </w:rPr>
              <w:br/>
              <w:t>- технические описания программного средства, а также документацию, описывающую содержание программного средства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7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8631-94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Программные конструктивы и условные обозначения для их представления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07.07.1995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Program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constructs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conventions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their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representation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посвящен представлению процедурных алгоритмов. Стандарт:</w:t>
            </w:r>
            <w:r w:rsidRPr="005023E4">
              <w:rPr>
                <w:color w:val="212529"/>
                <w:sz w:val="20"/>
                <w:szCs w:val="20"/>
              </w:rPr>
              <w:br/>
              <w:t>а) определяет основное свойство программных конструктивов;</w:t>
            </w:r>
            <w:r w:rsidRPr="005023E4">
              <w:rPr>
                <w:color w:val="212529"/>
                <w:sz w:val="20"/>
                <w:szCs w:val="20"/>
              </w:rPr>
              <w:br/>
              <w:t>b) указывает способ объединения конструктивов;</w:t>
            </w:r>
            <w:r w:rsidRPr="005023E4">
              <w:rPr>
                <w:color w:val="212529"/>
                <w:sz w:val="20"/>
                <w:szCs w:val="20"/>
              </w:rPr>
              <w:br/>
              <w:t>c) устанавливает требования к набору конструктивов;</w:t>
            </w:r>
            <w:r w:rsidRPr="005023E4">
              <w:rPr>
                <w:color w:val="212529"/>
                <w:sz w:val="20"/>
                <w:szCs w:val="20"/>
              </w:rPr>
              <w:br/>
              <w:t>d) допускает описание различных подмножеств установленных конструктивов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8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9126-93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Оценка программной продукции. Характеристики качества и руководства по их применению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01.07.1994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technology. Software product evaluation.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Quality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characteristics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guidelines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their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use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определяет шесть характеристик, которые с минимальным дублированием описывают качество программного обеспечения. Данные характеристики образуют основу для дальнейшего уточнения и описания качества программного обеспечения. Руководства описывают использование характеристик качества для оценки качества программного обеспечения.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Настоящий стандарт не определяет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подхарактеристики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(комплексные показатели) и показатели, а также методы измерения, ранжирования и оценки.</w:t>
            </w:r>
            <w:r w:rsidRPr="005023E4">
              <w:rPr>
                <w:color w:val="212529"/>
                <w:sz w:val="20"/>
                <w:szCs w:val="20"/>
              </w:rPr>
              <w:br/>
              <w:t>Определения характеристик и соответствующая модель процесса оценки качества, приведенные в настоящем стандарте, применимы тогда, когда определены требования для программной продукции и оценивается ее качество в процессе жизненного цикла.</w:t>
            </w:r>
            <w:r w:rsidRPr="005023E4">
              <w:rPr>
                <w:color w:val="212529"/>
                <w:sz w:val="20"/>
                <w:szCs w:val="20"/>
              </w:rPr>
              <w:br/>
              <w:t>Эти характеристики могут применяться к любому виду программного обеспечения, включая программы ЭВМ и данные, входящие в программно-технические средства (встроенные программы).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предназначен для характеристик, связанных с приобретением, разработкой, эксплуатацией, поддержкой, сопровождением или проверкой программного обеспечения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39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10746-1-2004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Открытая распределенная обработка. Базовая модель. Часть 1. Основные положения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01.01.2005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technology. Open distributed processing.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Reference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model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Part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1.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Overview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содержит:</w:t>
            </w:r>
            <w:r w:rsidRPr="005023E4">
              <w:rPr>
                <w:color w:val="212529"/>
                <w:sz w:val="20"/>
                <w:szCs w:val="20"/>
              </w:rPr>
              <w:br/>
              <w:t>- введение и обоснование открытой распределенной обработки (ОРО);</w:t>
            </w:r>
            <w:r w:rsidRPr="005023E4">
              <w:rPr>
                <w:color w:val="212529"/>
                <w:sz w:val="20"/>
                <w:szCs w:val="20"/>
              </w:rPr>
              <w:br/>
              <w:t>- обзор базовой модели открытой распределенной обработки (БМ-ОРО) и объяснение ее ключевых понятий;</w:t>
            </w:r>
            <w:r w:rsidRPr="005023E4">
              <w:rPr>
                <w:color w:val="212529"/>
                <w:sz w:val="20"/>
                <w:szCs w:val="20"/>
              </w:rPr>
              <w:br/>
              <w:t>- руководство по применению БМ-ОРО.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содержит общий обзор и подробное объяснение ОРО и может использоваться различными способами в сочетании с другими стандартами данной серии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0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10746-4-2004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Открытая распределенная обработка. Базовая модель. Часть 4. Архитектурная семантика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01.01.2005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ind w:left="360"/>
              <w:rPr>
                <w:b/>
                <w:bCs/>
                <w:color w:val="212529"/>
                <w:sz w:val="20"/>
                <w:szCs w:val="20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technology. Open distributed processing.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Reference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model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Part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4.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Architectural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semantics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Прогресс в области распределенной обработки привел к необходимости координации стандартов по открытой распределенной обработке (ОРО). Базовая модель ОРО предоставляет необходимый для этого каркас, а также устанавливает архитектуру, в которой могут быть скоординированы поддержка распределения, взаимодействия, совместимости и переносимости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1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12119-2000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Пакеты программ. Требования к качеству и тестирование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01.01.2002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ind w:left="360"/>
              <w:rPr>
                <w:b/>
                <w:bCs/>
                <w:color w:val="212529"/>
                <w:sz w:val="20"/>
                <w:szCs w:val="20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technology. Software packages.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Quality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requirements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testing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применяется для пакетов программ. Например, для текстовых процессоров, электронных таблиц, программ баз данных, графических пакетов, программ, реализующих технические и научные функции, и для сервисных программ (утилит). Стандарт предназначен только для пакетов, являющихся объектами продажи и поставки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2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12207-99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Процессы жизненного цикла программных средств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01.07.2000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ind w:left="360"/>
              <w:rPr>
                <w:b/>
                <w:bCs/>
                <w:color w:val="212529"/>
                <w:sz w:val="20"/>
                <w:szCs w:val="20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life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cycle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processes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применяется при приобретении систем, программных продуктов и оказании соответствующих услуг; а также при поставке, разработке, эксплуатации и сопровождении программных продуктов и программных компонентов программно-аппаратных средств, как в самой организации, так и вне ее. Стандарт содержит также те аспекты описания системы, которые необходимы для обеспечения понимания сути программных продуктов и услуг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3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14764-2002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Сопровождение программных средств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maintenance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Область применения настоящего стандарта охватывает сопровождение различных программных сре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дств пр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>и использовании одинаковых ресурсов сопровождения.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устанавливает основную структуру, в пределах которой могут быть выполнены, оценены и практически реализованы общие и конкретные планы сопровождения применительно к области действия и объему заданных программных средств (продуктов).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определяет основные положения, точную терминологию и процессы, позволяющие последовательно применять соответствующие технологии (инструментальные средства, методологии и методы) при сопровождении программных средств.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в основном предназначен для организаций, сопровождающих программные средства (персонала сопровождения, сопроводителей), а также может быть использован субъектами, отвечающими за разработку и обеспечение качества этих средств. Стандарт может быть применен заказчиками и пользователями систем, содержащих программные средства, которые могут представлять исходные данные для плана сопровождения.</w:t>
            </w:r>
            <w:r w:rsidRPr="005023E4">
              <w:rPr>
                <w:color w:val="212529"/>
                <w:sz w:val="20"/>
                <w:szCs w:val="20"/>
              </w:rPr>
              <w:br/>
              <w:t>Стандарт не распространяется на эксплуатацию программных средств.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не предназначен для применения пользователями готовых программных продуктов, не входящих в состав поставляемого продукта.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не предназначен для временно или эпизодически используемых программных средств (продуктов)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4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15026-2002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Уровни целостности систем и программных средств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System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and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integrity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levels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Стандарт содержит основные положения, связанные с уровнями целостности, определяет процессы для установления уровней целостности и требований к целостности программных средств, а также устанавливает требования к каждому соответствующему процессу. Стандарт не предопределяет конкретный набор уровней целостности или требования к целостности конкретного программного средства. Стандарт применим только для программных средств.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предназначен для применения разработчиками, пользователями, поставщиками и экспертами программных продуктов или систем, содержащих программные средства, а также для административной и технической поддержки данных продуктов и систем.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не устанавливает способ интеграции определения уровня целостности в общие процессы жизненного цикла программной инженерии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5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15288-2005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Системная инженерия. Процессы жизненного цикла систем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01.01.2007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</w:t>
            </w:r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023E4">
              <w:rPr>
                <w:b/>
                <w:bCs/>
                <w:color w:val="212529"/>
                <w:sz w:val="20"/>
                <w:szCs w:val="20"/>
              </w:rPr>
              <w:t>англ</w:t>
            </w:r>
            <w:proofErr w:type="spellEnd"/>
            <w:r w:rsidRPr="005023E4">
              <w:rPr>
                <w:b/>
                <w:bCs/>
                <w:color w:val="212529"/>
                <w:sz w:val="20"/>
                <w:szCs w:val="20"/>
                <w:lang w:val="en-US"/>
              </w:rPr>
              <w:t>.):</w:t>
            </w:r>
            <w:r w:rsidRPr="005023E4">
              <w:rPr>
                <w:color w:val="212529"/>
                <w:sz w:val="20"/>
                <w:szCs w:val="20"/>
                <w:lang w:val="en-US"/>
              </w:rPr>
              <w:t xml:space="preserve"> Information technology. System engineering.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System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life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cycle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processes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устанавливает общие основы для описания жизненного цикла систем, созданных людьми, определяет детально структурированные процессы и соответствующую терминологию.</w:t>
            </w:r>
            <w:r w:rsidRPr="005023E4">
              <w:rPr>
                <w:color w:val="212529"/>
                <w:sz w:val="20"/>
                <w:szCs w:val="20"/>
              </w:rPr>
              <w:br/>
              <w:t>В настоящем стандарте представлены также процессы, которые поддерживают определение, контроль и совершенствование процессов жизненного цикла внутри организации или в рамках какого-либо проекта.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применим к полному жизненному циклу системы, включая замысел, разработку, производство, эксплуатацию и снятие с эксплуатации, а также приобретение и поставку систем, осуществляемых внутри или вне организации.</w:t>
            </w:r>
            <w:r w:rsidRPr="005023E4">
              <w:rPr>
                <w:color w:val="212529"/>
                <w:sz w:val="20"/>
                <w:szCs w:val="20"/>
              </w:rPr>
              <w:br/>
              <w:t>В настоящем стандарте не детализируются процессы жизненного цикла в терминах методов и процедур, необходимых для удовлетворения требований и достижений результатов процесса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6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15910-2002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Процесс создания документации пользователя программного средства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user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documentation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process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Настоящий стандарт определяет минимально необходимый процесс создания документации пользователя всех видов для программного средства, имеющего интерфейс пользователя.</w:t>
            </w:r>
            <w:r w:rsidRPr="005023E4">
              <w:rPr>
                <w:color w:val="212529"/>
                <w:sz w:val="20"/>
                <w:szCs w:val="20"/>
              </w:rPr>
              <w:br/>
              <w:t>Стандарт предназначен для разработчиков и потребителей документации пользователя.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используется для печатной документации, а также для справочных экранов, справочной системы обеспечения поставки, справочной информации и т.д.</w:t>
            </w:r>
            <w:r w:rsidRPr="005023E4">
              <w:rPr>
                <w:color w:val="212529"/>
                <w:sz w:val="20"/>
                <w:szCs w:val="20"/>
              </w:rPr>
              <w:br/>
              <w:t>Стандарт предназначен для применения при двусторонних отношениях и может быть использован, если обе стороны корпоративно связаны. Стандарт также может быть использован одной из сторон для самоконтроля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7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ТО 9294-93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Руководство по управлению документированием программного обеспечения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01.07.1994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Guidelines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management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documentation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</w:t>
            </w:r>
            <w:r w:rsidRPr="005023E4">
              <w:rPr>
                <w:color w:val="212529"/>
                <w:sz w:val="20"/>
                <w:szCs w:val="20"/>
              </w:rPr>
              <w:br/>
              <w:t>Данный стандарт направлен на определение стратегий, стандартов, процедур, ресурсов и планов, которыми должны заниматься сами руководители для того, чтобы эффективно управлять документированием программного обеспечения.</w:t>
            </w:r>
            <w:r w:rsidRPr="005023E4">
              <w:rPr>
                <w:color w:val="212529"/>
                <w:sz w:val="20"/>
                <w:szCs w:val="20"/>
              </w:rPr>
              <w:br/>
              <w:t>Руководство предназначено для применения ко всем типам программного обеспечения - от простейших программ до наиболее сложного программного набора или системы программного обеспечения. Охвачены все типы программной документации, относящиеся ко всем стадиям жизненного цикла программного обеспечения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8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ТО 12182-2002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Информационная технология. Классификация программных средств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Categorization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> Областью применения настоящего стандарта является классификация программных средств (включая соответствующие продукты разработки программных средств и данные), создаваемых в процессах программной инженерии. Стандарт описывает схему классификации программных средств (ПС), охватывающую различные подходы к их классификации, а также существенные характеристики и атрибуты, описывающие и определяющие данные ПС и их классы.</w:t>
            </w:r>
            <w:r w:rsidRPr="005023E4">
              <w:rPr>
                <w:color w:val="212529"/>
                <w:sz w:val="20"/>
                <w:szCs w:val="20"/>
              </w:rPr>
              <w:br/>
              <w:t>Классификация ПС, установленная в настоящем стандарте, распространяется на область программной инженерии и связанные с ней стандарты, ПС, данные и методологии.</w:t>
            </w:r>
            <w:r w:rsidRPr="005023E4">
              <w:rPr>
                <w:color w:val="212529"/>
                <w:sz w:val="20"/>
                <w:szCs w:val="20"/>
              </w:rPr>
              <w:br/>
              <w:t>Настоящий стандарт в основном предназначен для специалистов в области программной инженерии, пользователей и разработчиков стандартов в данной области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49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ТО 15271-2002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Информационная технология. Руководство по применению ГОСТ </w:t>
            </w:r>
            <w:proofErr w:type="gramStart"/>
            <w:r w:rsidRPr="005023E4">
              <w:rPr>
                <w:b/>
                <w:bCs/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 ИСО/МЭК 12207 (Процессы жизненного цикла программных средств)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Information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technology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Guide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application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GOST R ISO/IEC 12207 (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life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cycle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processes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)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 xml:space="preserve"> Настоящий стандарт содержит рекомендации по применению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В стандарте основное внимание уделено особенностям, подлежащим учету при прикладном применении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 в условиях реальных проектов создания программных средств. Приведенные в настоящем стандарте рекомендации не касаются обсуждения обоснованности требований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В стандарте рассмотрены три основополагающие модели жизненного цикла и приведены примеры прикладного применения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4612D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1338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5304FA" w:rsidP="00712EF0">
            <w:pPr>
              <w:rPr>
                <w:color w:val="212529"/>
                <w:sz w:val="20"/>
                <w:szCs w:val="20"/>
              </w:rPr>
            </w:pPr>
            <w:hyperlink r:id="rId50" w:tgtFrame="_blank" w:history="1"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ГОСТ </w:t>
              </w:r>
              <w:proofErr w:type="gramStart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>Р</w:t>
              </w:r>
              <w:proofErr w:type="gramEnd"/>
              <w:r w:rsidR="004612DF" w:rsidRPr="005023E4">
                <w:rPr>
                  <w:b/>
                  <w:bCs/>
                  <w:color w:val="0079C2"/>
                  <w:sz w:val="20"/>
                  <w:szCs w:val="20"/>
                </w:rPr>
                <w:t xml:space="preserve"> ИСО/МЭК ТО 16326-2002</w:t>
              </w:r>
            </w:hyperlink>
          </w:p>
        </w:tc>
        <w:tc>
          <w:tcPr>
            <w:tcW w:w="186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Программная инженерия. Руководство по применению ГОСТ </w:t>
            </w:r>
            <w:proofErr w:type="gramStart"/>
            <w:r w:rsidRPr="005023E4">
              <w:rPr>
                <w:b/>
                <w:bCs/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b/>
                <w:bCs/>
                <w:color w:val="212529"/>
                <w:sz w:val="20"/>
                <w:szCs w:val="20"/>
              </w:rPr>
              <w:t xml:space="preserve"> ИСО/МЭК 12207 при управлении проектом</w:t>
            </w:r>
          </w:p>
        </w:tc>
        <w:tc>
          <w:tcPr>
            <w:tcW w:w="6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01.07.2003</w:t>
            </w:r>
          </w:p>
        </w:tc>
        <w:tc>
          <w:tcPr>
            <w:tcW w:w="8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jc w:val="center"/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действующий</w:t>
            </w:r>
          </w:p>
        </w:tc>
      </w:tr>
      <w:tr w:rsidR="004612DF" w:rsidRPr="005023E4" w:rsidTr="00712EF0">
        <w:tc>
          <w:tcPr>
            <w:tcW w:w="264" w:type="pct"/>
            <w:shd w:val="clear" w:color="auto" w:fill="FFFFFF"/>
          </w:tcPr>
          <w:p w:rsidR="004612DF" w:rsidRPr="005023E4" w:rsidRDefault="004612DF" w:rsidP="00712EF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212529"/>
                <w:sz w:val="20"/>
                <w:szCs w:val="20"/>
                <w:lang w:eastAsia="ru-RU"/>
              </w:rPr>
            </w:pPr>
          </w:p>
        </w:tc>
        <w:tc>
          <w:tcPr>
            <w:tcW w:w="4736" w:type="pct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2DF" w:rsidRPr="005023E4" w:rsidRDefault="004612DF" w:rsidP="00712EF0">
            <w:pPr>
              <w:rPr>
                <w:color w:val="212529"/>
                <w:sz w:val="20"/>
                <w:szCs w:val="20"/>
              </w:rPr>
            </w:pPr>
            <w:r w:rsidRPr="005023E4">
              <w:rPr>
                <w:b/>
                <w:bCs/>
                <w:color w:val="212529"/>
                <w:sz w:val="20"/>
                <w:szCs w:val="20"/>
              </w:rPr>
              <w:t>Название (англ.):</w:t>
            </w:r>
            <w:r w:rsidRPr="005023E4">
              <w:rPr>
                <w:color w:val="212529"/>
                <w:sz w:val="20"/>
                <w:szCs w:val="20"/>
              </w:rPr>
              <w:t> 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Software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engineering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.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Guide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for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the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application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of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GOST R ISO/IEC 12207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to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project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023E4">
              <w:rPr>
                <w:color w:val="212529"/>
                <w:sz w:val="20"/>
                <w:szCs w:val="20"/>
              </w:rPr>
              <w:t>management</w:t>
            </w:r>
            <w:proofErr w:type="spellEnd"/>
            <w:r w:rsidRPr="005023E4">
              <w:rPr>
                <w:color w:val="212529"/>
                <w:sz w:val="20"/>
                <w:szCs w:val="20"/>
              </w:rPr>
              <w:t> </w:t>
            </w:r>
            <w:r w:rsidRPr="005023E4">
              <w:rPr>
                <w:b/>
                <w:bCs/>
                <w:color w:val="212529"/>
                <w:sz w:val="20"/>
                <w:szCs w:val="20"/>
              </w:rPr>
              <w:t>Область применения:</w:t>
            </w:r>
            <w:r w:rsidRPr="005023E4">
              <w:rPr>
                <w:color w:val="212529"/>
                <w:sz w:val="20"/>
                <w:szCs w:val="20"/>
              </w:rPr>
              <w:t xml:space="preserve"> Настоящий стандарт уточняет и дополняет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 в части процесса управления.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Настоящий стандарт предназначен для лиц, отвечающих за управление реализацией основных процессов по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12207: заказа, поставки, разработки, эксплуатации и сопровождения.</w:t>
            </w:r>
            <w:r w:rsidRPr="005023E4">
              <w:rPr>
                <w:color w:val="212529"/>
                <w:sz w:val="20"/>
                <w:szCs w:val="20"/>
              </w:rPr>
              <w:br/>
              <w:t xml:space="preserve">В настоящем стандарте рассмотрены вопросы, специфичные для программных средств или приводящие к проблемам при реализации основных процессов по ГОСТ </w:t>
            </w:r>
            <w:proofErr w:type="gramStart"/>
            <w:r w:rsidRPr="005023E4">
              <w:rPr>
                <w:color w:val="212529"/>
                <w:sz w:val="20"/>
                <w:szCs w:val="20"/>
              </w:rPr>
              <w:t>Р</w:t>
            </w:r>
            <w:proofErr w:type="gramEnd"/>
            <w:r w:rsidRPr="005023E4">
              <w:rPr>
                <w:color w:val="212529"/>
                <w:sz w:val="20"/>
                <w:szCs w:val="20"/>
              </w:rPr>
              <w:t xml:space="preserve"> ИСО/МЭК 12207 в программных проектах</w:t>
            </w:r>
          </w:p>
        </w:tc>
      </w:tr>
    </w:tbl>
    <w:p w:rsidR="004612DF" w:rsidRDefault="004612DF" w:rsidP="005F0E5F">
      <w:pPr>
        <w:spacing w:line="360" w:lineRule="auto"/>
        <w:ind w:firstLine="709"/>
        <w:jc w:val="both"/>
        <w:rPr>
          <w:b/>
        </w:rPr>
      </w:pPr>
    </w:p>
    <w:p w:rsidR="005F0E5F" w:rsidRPr="00A24844" w:rsidRDefault="005F0E5F" w:rsidP="005F0E5F">
      <w:pPr>
        <w:spacing w:line="360" w:lineRule="auto"/>
        <w:ind w:firstLine="709"/>
        <w:jc w:val="both"/>
        <w:rPr>
          <w:b/>
        </w:rPr>
      </w:pPr>
      <w:r w:rsidRPr="00A24844">
        <w:rPr>
          <w:b/>
        </w:rPr>
        <w:t>Контрольные вопросы: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24844">
        <w:rPr>
          <w:rFonts w:ascii="Times New Roman" w:hAnsi="Times New Roman"/>
          <w:sz w:val="24"/>
          <w:szCs w:val="24"/>
        </w:rPr>
        <w:t xml:space="preserve">Что такое установка </w:t>
      </w:r>
      <w:proofErr w:type="gramStart"/>
      <w:r w:rsidRPr="00A24844">
        <w:rPr>
          <w:rFonts w:ascii="Times New Roman" w:hAnsi="Times New Roman"/>
          <w:sz w:val="24"/>
          <w:szCs w:val="24"/>
        </w:rPr>
        <w:t>ПО</w:t>
      </w:r>
      <w:proofErr w:type="gramEnd"/>
      <w:r w:rsidRPr="00A24844">
        <w:rPr>
          <w:rFonts w:ascii="Times New Roman" w:hAnsi="Times New Roman"/>
          <w:sz w:val="24"/>
          <w:szCs w:val="24"/>
        </w:rPr>
        <w:t>?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24844">
        <w:rPr>
          <w:rFonts w:ascii="Times New Roman" w:hAnsi="Times New Roman"/>
          <w:sz w:val="24"/>
          <w:szCs w:val="24"/>
        </w:rPr>
        <w:t>Что такое программная совместимость?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24844">
        <w:rPr>
          <w:rFonts w:ascii="Times New Roman" w:hAnsi="Times New Roman"/>
          <w:sz w:val="24"/>
          <w:szCs w:val="24"/>
        </w:rPr>
        <w:t>Что такое аппаратная совместимость?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24844">
        <w:rPr>
          <w:rFonts w:ascii="Times New Roman" w:hAnsi="Times New Roman"/>
          <w:sz w:val="24"/>
          <w:szCs w:val="24"/>
        </w:rPr>
        <w:t xml:space="preserve">Какого типа проблемы могут возникнуть при установке </w:t>
      </w:r>
      <w:proofErr w:type="gramStart"/>
      <w:r w:rsidRPr="00A24844">
        <w:rPr>
          <w:rFonts w:ascii="Times New Roman" w:hAnsi="Times New Roman"/>
          <w:sz w:val="24"/>
          <w:szCs w:val="24"/>
        </w:rPr>
        <w:t>ПО</w:t>
      </w:r>
      <w:proofErr w:type="gramEnd"/>
      <w:r w:rsidRPr="00A24844">
        <w:rPr>
          <w:rFonts w:ascii="Times New Roman" w:hAnsi="Times New Roman"/>
          <w:sz w:val="24"/>
          <w:szCs w:val="24"/>
        </w:rPr>
        <w:t>?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24844">
        <w:rPr>
          <w:rFonts w:ascii="Times New Roman" w:hAnsi="Times New Roman"/>
          <w:sz w:val="24"/>
          <w:szCs w:val="24"/>
        </w:rPr>
        <w:t>Какими способами можно выявить проблемы установки?</w:t>
      </w:r>
    </w:p>
    <w:p w:rsidR="005F0E5F" w:rsidRPr="00A24844" w:rsidRDefault="005F0E5F" w:rsidP="005F0E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24844">
        <w:rPr>
          <w:rFonts w:ascii="Times New Roman" w:hAnsi="Times New Roman"/>
          <w:spacing w:val="-4"/>
          <w:sz w:val="24"/>
          <w:szCs w:val="24"/>
        </w:rPr>
        <w:t xml:space="preserve">Что такое расширенный инструментарий обеспечения совместимости </w:t>
      </w:r>
      <w:proofErr w:type="spellStart"/>
      <w:r w:rsidRPr="00A24844">
        <w:rPr>
          <w:rFonts w:ascii="Times New Roman" w:hAnsi="Times New Roman"/>
          <w:spacing w:val="-4"/>
          <w:sz w:val="24"/>
          <w:szCs w:val="24"/>
        </w:rPr>
        <w:t>Microsoft</w:t>
      </w:r>
      <w:proofErr w:type="spellEnd"/>
      <w:r w:rsidRPr="00A24844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A24844">
        <w:rPr>
          <w:rFonts w:ascii="Times New Roman" w:hAnsi="Times New Roman"/>
          <w:spacing w:val="-4"/>
          <w:sz w:val="24"/>
          <w:szCs w:val="24"/>
        </w:rPr>
        <w:t>Application</w:t>
      </w:r>
      <w:proofErr w:type="spellEnd"/>
      <w:r w:rsidRPr="00A24844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A24844">
        <w:rPr>
          <w:rFonts w:ascii="Times New Roman" w:hAnsi="Times New Roman"/>
          <w:spacing w:val="-4"/>
          <w:sz w:val="24"/>
          <w:szCs w:val="24"/>
        </w:rPr>
        <w:t>Compatibility</w:t>
      </w:r>
      <w:proofErr w:type="spellEnd"/>
      <w:r w:rsidRPr="00A24844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A24844">
        <w:rPr>
          <w:rFonts w:ascii="Times New Roman" w:hAnsi="Times New Roman"/>
          <w:spacing w:val="-4"/>
          <w:sz w:val="24"/>
          <w:szCs w:val="24"/>
        </w:rPr>
        <w:t>Toolkit</w:t>
      </w:r>
      <w:proofErr w:type="spellEnd"/>
      <w:r w:rsidRPr="00A24844">
        <w:rPr>
          <w:rFonts w:ascii="Times New Roman" w:hAnsi="Times New Roman"/>
          <w:spacing w:val="-4"/>
          <w:sz w:val="24"/>
          <w:szCs w:val="24"/>
        </w:rPr>
        <w:t>?</w:t>
      </w:r>
    </w:p>
    <w:p w:rsidR="005F0E5F" w:rsidRPr="00A24844" w:rsidRDefault="005F0E5F" w:rsidP="005F0E5F">
      <w:pPr>
        <w:tabs>
          <w:tab w:val="left" w:pos="426"/>
        </w:tabs>
        <w:ind w:firstLine="709"/>
        <w:jc w:val="both"/>
        <w:rPr>
          <w:b/>
        </w:rPr>
      </w:pPr>
      <w:r w:rsidRPr="00A24844">
        <w:rPr>
          <w:b/>
        </w:rPr>
        <w:t>Список литературы.</w:t>
      </w:r>
    </w:p>
    <w:p w:rsidR="005F0E5F" w:rsidRPr="00A24844" w:rsidRDefault="005F0E5F" w:rsidP="005F0E5F">
      <w:pPr>
        <w:ind w:firstLine="709"/>
        <w:jc w:val="both"/>
      </w:pP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r w:rsidRPr="00A24844">
        <w:t>Ан П. Сопряжение ПК с внешними устройствами "ДМК Пресс". 2018 Режим доступа: https://e.lanbook.com/book/1086?category=1541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proofErr w:type="spellStart"/>
      <w:r w:rsidRPr="00A24844">
        <w:t>Бикташев</w:t>
      </w:r>
      <w:proofErr w:type="spellEnd"/>
      <w:r w:rsidRPr="00A24844">
        <w:t xml:space="preserve"> Р.А., Федосеева Л.И.. </w:t>
      </w:r>
      <w:r w:rsidRPr="00A24844">
        <w:tab/>
        <w:t>Введение в вычислительную технику</w:t>
      </w:r>
      <w:r w:rsidRPr="00A24844">
        <w:tab/>
        <w:t>Пензенский государственный технологический университет Режим доступа: https://e.lanbook.com/book/62510?category=1541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proofErr w:type="spellStart"/>
      <w:proofErr w:type="gramStart"/>
      <w:r w:rsidRPr="00A24844">
        <w:t>C</w:t>
      </w:r>
      <w:proofErr w:type="gramEnd"/>
      <w:r w:rsidRPr="00A24844">
        <w:t>перанский</w:t>
      </w:r>
      <w:proofErr w:type="spellEnd"/>
      <w:r w:rsidRPr="00A24844">
        <w:t xml:space="preserve"> Д.В., </w:t>
      </w:r>
      <w:proofErr w:type="spellStart"/>
      <w:r w:rsidRPr="00A24844">
        <w:t>Скобцов</w:t>
      </w:r>
      <w:proofErr w:type="spellEnd"/>
      <w:r w:rsidRPr="00A24844">
        <w:t xml:space="preserve"> Ю.А., </w:t>
      </w:r>
      <w:proofErr w:type="spellStart"/>
      <w:r w:rsidRPr="00A24844">
        <w:t>Скобцов</w:t>
      </w:r>
      <w:proofErr w:type="spellEnd"/>
      <w:r w:rsidRPr="00A24844">
        <w:t xml:space="preserve"> В.Ю. Моделирование, тестирование и диагностика цифровых устройств ИНТУИТ 2016 Режим доступа https://e.lanbook.com/book/100660?category=1541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r w:rsidRPr="00A24844">
        <w:t>Вонг А. Оптимизация BIOS. Полное руководство по всем параметрам BIOS и их настройкам Омск</w:t>
      </w:r>
      <w:proofErr w:type="gramStart"/>
      <w:r w:rsidRPr="00A24844">
        <w:t xml:space="preserve"> :</w:t>
      </w:r>
      <w:proofErr w:type="gramEnd"/>
      <w:r w:rsidRPr="00A24844">
        <w:t xml:space="preserve"> Издательство </w:t>
      </w:r>
      <w:proofErr w:type="spellStart"/>
      <w:r w:rsidRPr="00A24844">
        <w:t>ОмГТУ</w:t>
      </w:r>
      <w:proofErr w:type="spellEnd"/>
      <w:r w:rsidRPr="00A24844">
        <w:t xml:space="preserve"> 2017 Режим доступа: https://e.lanbook.com/book/1084?category=1541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r w:rsidRPr="00A24844">
        <w:t xml:space="preserve">С.Р. </w:t>
      </w:r>
      <w:proofErr w:type="spellStart"/>
      <w:r w:rsidRPr="00A24844">
        <w:t>Гуриков</w:t>
      </w:r>
      <w:proofErr w:type="spellEnd"/>
      <w:r w:rsidRPr="00A24844">
        <w:t xml:space="preserve"> Тестирования аппаратных вычислительных устройств Москва ФОРУМ 2016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r w:rsidRPr="00A24844">
        <w:t>И. Г. Семакин А. П. Шестаков Основы тестирования и отладки вычислительных устройств Москва ACADEMIA Гриф 2016</w:t>
      </w:r>
    </w:p>
    <w:p w:rsidR="005F0E5F" w:rsidRPr="00A24844" w:rsidRDefault="005F0E5F" w:rsidP="005F0E5F">
      <w:pPr>
        <w:numPr>
          <w:ilvl w:val="0"/>
          <w:numId w:val="1"/>
        </w:numPr>
        <w:ind w:left="0" w:firstLine="709"/>
        <w:jc w:val="both"/>
      </w:pPr>
      <w:r w:rsidRPr="00A24844">
        <w:t>А.В. Курилова, В.О. Оганесян Ввод и обработка цифровой информации: Москва ACADEMIA Гриф 2016</w:t>
      </w:r>
    </w:p>
    <w:p w:rsidR="006C0858" w:rsidRDefault="006C0858"/>
    <w:sectPr w:rsidR="006C0858" w:rsidSect="001102FD">
      <w:pgSz w:w="11906" w:h="16838"/>
      <w:pgMar w:top="1134" w:right="566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C5A"/>
    <w:multiLevelType w:val="multilevel"/>
    <w:tmpl w:val="266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81C83"/>
    <w:multiLevelType w:val="multilevel"/>
    <w:tmpl w:val="E678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C0F9F"/>
    <w:multiLevelType w:val="hybridMultilevel"/>
    <w:tmpl w:val="10C47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64D15"/>
    <w:multiLevelType w:val="hybridMultilevel"/>
    <w:tmpl w:val="93FCA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B71819"/>
    <w:multiLevelType w:val="multilevel"/>
    <w:tmpl w:val="566618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980FA6"/>
    <w:multiLevelType w:val="multilevel"/>
    <w:tmpl w:val="D70224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90D31"/>
    <w:multiLevelType w:val="hybridMultilevel"/>
    <w:tmpl w:val="82100320"/>
    <w:lvl w:ilvl="0" w:tplc="337EEB64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8727882"/>
    <w:multiLevelType w:val="hybridMultilevel"/>
    <w:tmpl w:val="B1188AAA"/>
    <w:lvl w:ilvl="0" w:tplc="337EEB64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2B"/>
    <w:rsid w:val="000C2976"/>
    <w:rsid w:val="001102FD"/>
    <w:rsid w:val="004612DF"/>
    <w:rsid w:val="005304FA"/>
    <w:rsid w:val="005F0E5F"/>
    <w:rsid w:val="006C0858"/>
    <w:rsid w:val="00B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E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F0E5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F0E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5F0E5F"/>
    <w:pPr>
      <w:spacing w:before="100" w:beforeAutospacing="1" w:after="100" w:afterAutospacing="1"/>
    </w:pPr>
  </w:style>
  <w:style w:type="character" w:styleId="a5">
    <w:name w:val="Strong"/>
    <w:uiPriority w:val="22"/>
    <w:qFormat/>
    <w:rsid w:val="005F0E5F"/>
    <w:rPr>
      <w:b/>
      <w:bCs/>
    </w:rPr>
  </w:style>
  <w:style w:type="character" w:styleId="a6">
    <w:name w:val="Hyperlink"/>
    <w:uiPriority w:val="99"/>
    <w:semiHidden/>
    <w:unhideWhenUsed/>
    <w:rsid w:val="005F0E5F"/>
    <w:rPr>
      <w:color w:val="0000FF"/>
      <w:u w:val="single"/>
    </w:rPr>
  </w:style>
  <w:style w:type="paragraph" w:customStyle="1" w:styleId="1">
    <w:name w:val="Обычный1"/>
    <w:rsid w:val="005F0E5F"/>
    <w:rPr>
      <w:rFonts w:ascii="Calibri" w:eastAsia="Calibri" w:hAnsi="Calibri" w:cs="Calibri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F0E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E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F0E5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F0E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5F0E5F"/>
    <w:pPr>
      <w:spacing w:before="100" w:beforeAutospacing="1" w:after="100" w:afterAutospacing="1"/>
    </w:pPr>
  </w:style>
  <w:style w:type="character" w:styleId="a5">
    <w:name w:val="Strong"/>
    <w:uiPriority w:val="22"/>
    <w:qFormat/>
    <w:rsid w:val="005F0E5F"/>
    <w:rPr>
      <w:b/>
      <w:bCs/>
    </w:rPr>
  </w:style>
  <w:style w:type="character" w:styleId="a6">
    <w:name w:val="Hyperlink"/>
    <w:uiPriority w:val="99"/>
    <w:semiHidden/>
    <w:unhideWhenUsed/>
    <w:rsid w:val="005F0E5F"/>
    <w:rPr>
      <w:color w:val="0000FF"/>
      <w:u w:val="single"/>
    </w:rPr>
  </w:style>
  <w:style w:type="paragraph" w:customStyle="1" w:styleId="1">
    <w:name w:val="Обычный1"/>
    <w:rsid w:val="005F0E5F"/>
    <w:rPr>
      <w:rFonts w:ascii="Calibri" w:eastAsia="Calibri" w:hAnsi="Calibri" w:cs="Calibri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F0E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info.org.ua/uploads/posts/2011-11/1320530429_upr8.jpg" TargetMode="External"/><Relationship Id="rId18" Type="http://schemas.openxmlformats.org/officeDocument/2006/relationships/hyperlink" Target="http://wininfo.org.ua/uploads/posts/2011-11/1320530422_upr11.jpg" TargetMode="External"/><Relationship Id="rId26" Type="http://schemas.openxmlformats.org/officeDocument/2006/relationships/hyperlink" Target="http://wininfo.org.ua/uploads/posts/2011-11/1320530344_upr17.jpg" TargetMode="External"/><Relationship Id="rId39" Type="http://schemas.openxmlformats.org/officeDocument/2006/relationships/hyperlink" Target="https://gost.ruscable.ru/Index/5/5841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ininfo.org.ua/uploads/posts/2011-11/1320530405_upr14.jpg" TargetMode="External"/><Relationship Id="rId34" Type="http://schemas.openxmlformats.org/officeDocument/2006/relationships/hyperlink" Target="https://gost.ruscable.ru/Index/2/2063.htm" TargetMode="External"/><Relationship Id="rId42" Type="http://schemas.openxmlformats.org/officeDocument/2006/relationships/hyperlink" Target="https://gost.ruscable.ru/Index/38/38119.htm" TargetMode="External"/><Relationship Id="rId47" Type="http://schemas.openxmlformats.org/officeDocument/2006/relationships/hyperlink" Target="https://gost.ruscable.ru/Index/9/9946.htm" TargetMode="External"/><Relationship Id="rId50" Type="http://schemas.openxmlformats.org/officeDocument/2006/relationships/hyperlink" Target="https://gost.ruscable.ru/Index/6/6213.htm" TargetMode="External"/><Relationship Id="rId7" Type="http://schemas.openxmlformats.org/officeDocument/2006/relationships/hyperlink" Target="http://wininfo.org.ua/uploads/posts/2011-11/1320530543_upr1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hyperlink" Target="https://gost.ruscable.ru/Index/8/8939.htm" TargetMode="External"/><Relationship Id="rId38" Type="http://schemas.openxmlformats.org/officeDocument/2006/relationships/hyperlink" Target="https://gost.ruscable.ru/Index/18/18984.htm" TargetMode="External"/><Relationship Id="rId46" Type="http://schemas.openxmlformats.org/officeDocument/2006/relationships/hyperlink" Target="https://gost.ruscable.ru/Index/6/6350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jpeg"/><Relationship Id="rId41" Type="http://schemas.openxmlformats.org/officeDocument/2006/relationships/hyperlink" Target="https://gost.ruscable.ru/Index/2/277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wininfo.org.ua/uploads/posts/2011-11/1320530340_upr16.jpg" TargetMode="External"/><Relationship Id="rId32" Type="http://schemas.openxmlformats.org/officeDocument/2006/relationships/hyperlink" Target="https://gost.ruscable.ru/Index/18/18664.htm" TargetMode="External"/><Relationship Id="rId37" Type="http://schemas.openxmlformats.org/officeDocument/2006/relationships/hyperlink" Target="https://gost.ruscable.ru/Index/9/9662.htm" TargetMode="External"/><Relationship Id="rId40" Type="http://schemas.openxmlformats.org/officeDocument/2006/relationships/hyperlink" Target="https://gost.ruscable.ru/Index/5/5805.htm" TargetMode="External"/><Relationship Id="rId45" Type="http://schemas.openxmlformats.org/officeDocument/2006/relationships/hyperlink" Target="https://gost.ruscable.ru/Index/2/2011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://wininfo.org.ua/uploads/posts/2011-11/1320530312_upr18.jpg" TargetMode="External"/><Relationship Id="rId36" Type="http://schemas.openxmlformats.org/officeDocument/2006/relationships/hyperlink" Target="https://gost.ruscable.ru/Index/9/9880.htm" TargetMode="External"/><Relationship Id="rId49" Type="http://schemas.openxmlformats.org/officeDocument/2006/relationships/hyperlink" Target="https://gost.ruscable.ru/Index/6/6430.htm" TargetMode="External"/><Relationship Id="rId10" Type="http://schemas.openxmlformats.org/officeDocument/2006/relationships/hyperlink" Target="http://wininfo.org.ua/uploads/posts/2011-11/1320530434_upr7.jpg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s://gost.ruscable.ru/Index/10/10605.htm" TargetMode="External"/><Relationship Id="rId44" Type="http://schemas.openxmlformats.org/officeDocument/2006/relationships/hyperlink" Target="https://gost.ruscable.ru/Index/6/6438.htm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4.jpeg"/><Relationship Id="rId30" Type="http://schemas.openxmlformats.org/officeDocument/2006/relationships/hyperlink" Target="https://gost.ruscable.ru/Index/11/11212.htm" TargetMode="External"/><Relationship Id="rId35" Type="http://schemas.openxmlformats.org/officeDocument/2006/relationships/hyperlink" Target="https://gost.ruscable.ru/Index/0/38.htm" TargetMode="External"/><Relationship Id="rId43" Type="http://schemas.openxmlformats.org/officeDocument/2006/relationships/hyperlink" Target="https://gost.ruscable.ru/Index/6/6426.htm" TargetMode="External"/><Relationship Id="rId48" Type="http://schemas.openxmlformats.org/officeDocument/2006/relationships/hyperlink" Target="https://gost.ruscable.ru/Index/6/6373.htm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B1B8F-E2DF-40B3-9681-58151E58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4043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деканат</cp:lastModifiedBy>
  <cp:revision>5</cp:revision>
  <dcterms:created xsi:type="dcterms:W3CDTF">2023-01-12T05:22:00Z</dcterms:created>
  <dcterms:modified xsi:type="dcterms:W3CDTF">2025-01-30T13:45:00Z</dcterms:modified>
</cp:coreProperties>
</file>