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i w:val="false"/>
          <w:iCs w:val="false"/>
          <w:color w:val="1F3864"/>
          <w:sz w:val="34"/>
          <w:szCs w:val="34"/>
        </w:rPr>
        <w:t xml:space="preserve">CVE Remediation Status</w:t>
      </w:r>
    </w:p>
    <w:p>
      <w:pPr>
        <w:pBdr>
          <w:bottom w:val="single" w:color="C9D2E0" w:sz="6" w:space="4"/>
        </w:pBdr>
        <w:spacing w:after="60" w:before="0"/>
      </w:pPr>
      <w:r>
        <w:rPr>
          <w:rFonts w:ascii="Calibri" w:cs="Calibri" w:eastAsia="Calibri" w:hAnsi="Calibri"/>
          <w:b w:val="false"/>
          <w:bCs w:val="false"/>
          <w:i w:val="false"/>
          <w:iCs w:val="false"/>
          <w:color w:val="595959"/>
          <w:sz w:val="22"/>
          <w:szCs w:val="22"/>
        </w:rPr>
        <w:t xml:space="preserve">Summarization Service container image</w:t>
      </w:r>
    </w:p>
    <w:p>
      <w:pPr>
        <w:spacing w:after="200" w:before="0"/>
      </w:pPr>
      <w:r>
        <w:rPr>
          <w:rFonts w:ascii="Calibri" w:cs="Calibri" w:eastAsia="Calibri" w:hAnsi="Calibri"/>
          <w:b w:val="false"/>
          <w:bCs w:val="false"/>
          <w:i w:val="false"/>
          <w:iCs w:val="false"/>
          <w:color w:val="595959"/>
          <w:sz w:val="17"/>
          <w:szCs w:val="17"/>
        </w:rPr>
        <w:t xml:space="preserve">Updated 17 September 2026   |   Scan: summarization-service, tag pr-59-c007cf0   |   Base: Ubuntu 22.04</w:t>
      </w:r>
    </w:p>
    <w:p>
      <w:pPr>
        <w:spacing w:after="110" w:before="0"/>
      </w:pPr>
      <w:r>
        <w:rPr>
          <w:rFonts w:ascii="Calibri" w:cs="Calibri" w:eastAsia="Calibri" w:hAnsi="Calibri"/>
          <w:b/>
          <w:bCs/>
          <w:i w:val="false"/>
          <w:iCs w:val="false"/>
          <w:color w:val="1F3864"/>
          <w:sz w:val="24"/>
          <w:szCs w:val="24"/>
        </w:rPr>
        <w:t xml:space="preserve">Headline</w:t>
      </w:r>
    </w:p>
    <w:p>
      <w:pPr>
        <w:spacing w:after="130" w:before="0"/>
      </w:pPr>
      <w:r>
        <w:rPr>
          <w:rFonts w:ascii="Calibri" w:cs="Calibri" w:eastAsia="Calibri" w:hAnsi="Calibri"/>
          <w:b/>
          <w:bCs/>
          <w:i w:val="false"/>
          <w:iCs w:val="false"/>
          <w:color w:val="000000"/>
          <w:sz w:val="20"/>
          <w:szCs w:val="20"/>
        </w:rPr>
        <w:t xml:space="preserve">All pushed fixes are confirmed live. </w:t>
      </w:r>
      <w:r>
        <w:rPr>
          <w:rFonts w:ascii="Calibri" w:cs="Calibri" w:eastAsia="Calibri" w:hAnsi="Calibri"/>
          <w:b w:val="false"/>
          <w:bCs w:val="false"/>
          <w:i w:val="false"/>
          <w:iCs w:val="false"/>
          <w:color w:val="000000"/>
          <w:sz w:val="20"/>
          <w:szCs w:val="20"/>
        </w:rPr>
        <w:t xml:space="preserve">Critical dropped from 3 to 2 and High from 57 to 49. Every finding against a pip-installed package is now cleared except torch and transformers.</w:t>
      </w:r>
    </w:p>
    <w:p>
      <w:pPr>
        <w:spacing w:after="180" w:before="0"/>
      </w:pPr>
      <w:r>
        <w:rPr>
          <w:rFonts w:ascii="Calibri" w:cs="Calibri" w:eastAsia="Calibri" w:hAnsi="Calibri"/>
          <w:b w:val="false"/>
          <w:bCs w:val="false"/>
          <w:i w:val="false"/>
          <w:iCs w:val="false"/>
          <w:color w:val="000000"/>
          <w:sz w:val="20"/>
          <w:szCs w:val="20"/>
        </w:rPr>
        <w:t xml:space="preserve">The scan file reports 122 failures. That figure also counts 60 medium, 10 low and 1 informational, which earlier summaries excluded. Critical and High both went down.</w:t>
      </w:r>
    </w:p>
    <w:tbl>
      <w:tblPr>
        <w:tblW w:type="dxa" w:w="9360"/>
        <w:tblBorders>
          <w:top w:val="single" w:color="B8C4D9" w:sz="4"/>
          <w:left w:val="single" w:color="B8C4D9" w:sz="4"/>
          <w:bottom w:val="single" w:color="B8C4D9" w:sz="4"/>
          <w:right w:val="single" w:color="B8C4D9" w:sz="4"/>
          <w:insideH w:val="single" w:color="D6DEEB" w:sz="2"/>
          <w:insideV w:val="single" w:color="D6DEEB" w:sz="2"/>
        </w:tblBorders>
      </w:tblPr>
      <w:tblGrid>
        <w:gridCol w:w="3120"/>
        <w:gridCol w:w="2080"/>
        <w:gridCol w:w="2080"/>
        <w:gridCol w:w="2080"/>
      </w:tblGrid>
      <w:tr>
        <w:trPr>
          <w:tblHeader/>
        </w:trPr>
        <w:tc>
          <w:tcPr>
            <w:tcW w:type="dxa" w:w="3120"/>
            <w:shd w:fill="1F3864" w:color="auto" w:val="clear"/>
            <w:tcMar>
              <w:top w:type="dxa" w:w="55"/>
              <w:left w:type="dxa" w:w="105"/>
              <w:bottom w:type="dxa" w:w="55"/>
              <w:right w:type="dxa" w:w="105"/>
            </w:tcMar>
          </w:tcPr>
          <w:p>
            <w:pPr>
              <w:spacing w:after="0" w:before="0"/>
            </w:pPr>
            <w:r>
              <w:rPr>
                <w:rFonts w:ascii="Calibri" w:cs="Calibri" w:eastAsia="Calibri" w:hAnsi="Calibri"/>
                <w:b/>
                <w:bCs/>
                <w:i w:val="false"/>
                <w:iCs w:val="false"/>
                <w:color w:val="FFFFFF"/>
                <w:sz w:val="18"/>
                <w:szCs w:val="18"/>
              </w:rPr>
              <w:t xml:space="preserve">Severity</w:t>
            </w:r>
          </w:p>
        </w:tc>
        <w:tc>
          <w:tcPr>
            <w:tcW w:type="dxa" w:w="208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Original</w:t>
            </w:r>
          </w:p>
        </w:tc>
        <w:tc>
          <w:tcPr>
            <w:tcW w:type="dxa" w:w="208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Now</w:t>
            </w:r>
          </w:p>
        </w:tc>
        <w:tc>
          <w:tcPr>
            <w:tcW w:type="dxa" w:w="208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Change</w:t>
            </w:r>
          </w:p>
        </w:tc>
      </w:tr>
      <w:tr>
        <w:tc>
          <w:tcPr>
            <w:tcW w:type="dxa" w:w="312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Critical</w:t>
            </w:r>
          </w:p>
        </w:tc>
        <w:tc>
          <w:tcPr>
            <w:tcW w:type="dxa" w:w="208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3</w:t>
            </w:r>
          </w:p>
        </w:tc>
        <w:tc>
          <w:tcPr>
            <w:tcW w:type="dxa" w:w="2080"/>
            <w:tcMar>
              <w:top w:type="dxa" w:w="55"/>
              <w:left w:type="dxa" w:w="105"/>
              <w:bottom w:type="dxa" w:w="55"/>
              <w:right w:type="dxa" w:w="105"/>
            </w:tcMar>
          </w:tcPr>
          <w:p>
            <w:pPr>
              <w:spacing w:after="0" w:before="0"/>
              <w:jc w:val="center"/>
            </w:pPr>
            <w:r>
              <w:rPr>
                <w:rFonts w:ascii="Calibri" w:cs="Calibri" w:eastAsia="Calibri" w:hAnsi="Calibri"/>
                <w:b/>
                <w:bCs/>
                <w:i w:val="false"/>
                <w:iCs w:val="false"/>
                <w:color w:val="000000"/>
                <w:sz w:val="18"/>
                <w:szCs w:val="18"/>
              </w:rPr>
              <w:t xml:space="preserve">2</w:t>
            </w:r>
          </w:p>
        </w:tc>
        <w:tc>
          <w:tcPr>
            <w:tcW w:type="dxa" w:w="2080"/>
            <w:tcMar>
              <w:top w:type="dxa" w:w="55"/>
              <w:left w:type="dxa" w:w="105"/>
              <w:bottom w:type="dxa" w:w="55"/>
              <w:right w:type="dxa" w:w="105"/>
            </w:tcMar>
          </w:tcPr>
          <w:p>
            <w:pPr>
              <w:spacing w:after="0" w:before="0"/>
              <w:jc w:val="center"/>
            </w:pPr>
            <w:r>
              <w:rPr>
                <w:rFonts w:ascii="Calibri" w:cs="Calibri" w:eastAsia="Calibri" w:hAnsi="Calibri"/>
                <w:b/>
                <w:bCs/>
                <w:i w:val="false"/>
                <w:iCs w:val="false"/>
                <w:color w:val="1E7145"/>
                <w:sz w:val="18"/>
                <w:szCs w:val="18"/>
              </w:rPr>
              <w:t xml:space="preserve">-1</w:t>
            </w:r>
          </w:p>
        </w:tc>
      </w:tr>
      <w:tr>
        <w:tc>
          <w:tcPr>
            <w:tcW w:type="dxa" w:w="312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High</w:t>
            </w:r>
          </w:p>
        </w:tc>
        <w:tc>
          <w:tcPr>
            <w:tcW w:type="dxa" w:w="208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57</w:t>
            </w:r>
          </w:p>
        </w:tc>
        <w:tc>
          <w:tcPr>
            <w:tcW w:type="dxa" w:w="2080"/>
            <w:shd w:fill="F2F5FA"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000000"/>
                <w:sz w:val="18"/>
                <w:szCs w:val="18"/>
              </w:rPr>
              <w:t xml:space="preserve">49</w:t>
            </w:r>
          </w:p>
        </w:tc>
        <w:tc>
          <w:tcPr>
            <w:tcW w:type="dxa" w:w="2080"/>
            <w:shd w:fill="F2F5FA"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1E7145"/>
                <w:sz w:val="18"/>
                <w:szCs w:val="18"/>
              </w:rPr>
              <w:t xml:space="preserve">-8</w:t>
            </w:r>
          </w:p>
        </w:tc>
      </w:tr>
      <w:tr>
        <w:tc>
          <w:tcPr>
            <w:tcW w:type="dxa" w:w="312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Medium</w:t>
            </w:r>
          </w:p>
        </w:tc>
        <w:tc>
          <w:tcPr>
            <w:tcW w:type="dxa" w:w="208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not reported</w:t>
            </w:r>
          </w:p>
        </w:tc>
        <w:tc>
          <w:tcPr>
            <w:tcW w:type="dxa" w:w="208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60</w:t>
            </w:r>
          </w:p>
        </w:tc>
        <w:tc>
          <w:tcPr>
            <w:tcW w:type="dxa" w:w="208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595959"/>
                <w:sz w:val="18"/>
                <w:szCs w:val="18"/>
              </w:rPr>
              <w:t xml:space="preserve">-</w:t>
            </w:r>
          </w:p>
        </w:tc>
      </w:tr>
      <w:tr>
        <w:tc>
          <w:tcPr>
            <w:tcW w:type="dxa" w:w="312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Low / info</w:t>
            </w:r>
          </w:p>
        </w:tc>
        <w:tc>
          <w:tcPr>
            <w:tcW w:type="dxa" w:w="208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not reported</w:t>
            </w:r>
          </w:p>
        </w:tc>
        <w:tc>
          <w:tcPr>
            <w:tcW w:type="dxa" w:w="208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11</w:t>
            </w:r>
          </w:p>
        </w:tc>
        <w:tc>
          <w:tcPr>
            <w:tcW w:type="dxa" w:w="208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595959"/>
                <w:sz w:val="18"/>
                <w:szCs w:val="18"/>
              </w:rPr>
              <w:t xml:space="preserve">-</w:t>
            </w:r>
          </w:p>
        </w:tc>
      </w:tr>
    </w:tbl>
    <w:p>
      <w:pPr>
        <w:spacing w:after="170" w:before="0"/>
      </w:pPr>
      <w:r>
        <w:rPr>
          <w:rFonts w:ascii="Calibri" w:cs="Calibri" w:eastAsia="Calibri" w:hAnsi="Calibri"/>
          <w:b w:val="false"/>
          <w:bCs w:val="false"/>
          <w:i w:val="false"/>
          <w:iCs w:val="false"/>
          <w:color w:val="000000"/>
          <w:sz w:val="20"/>
          <w:szCs w:val="20"/>
        </w:rPr>
        <w:t xml:space="preserve"/>
      </w:r>
    </w:p>
    <w:p>
      <w:pPr>
        <w:spacing w:after="110" w:before="230"/>
      </w:pPr>
      <w:r>
        <w:rPr>
          <w:rFonts w:ascii="Calibri" w:cs="Calibri" w:eastAsia="Calibri" w:hAnsi="Calibri"/>
          <w:b/>
          <w:bCs/>
          <w:i w:val="false"/>
          <w:iCs w:val="false"/>
          <w:color w:val="1F3864"/>
          <w:sz w:val="24"/>
          <w:szCs w:val="24"/>
        </w:rPr>
        <w:t xml:space="preserve">1. Fixes verified as cleared</w:t>
      </w:r>
    </w:p>
    <w:p>
      <w:pPr>
        <w:spacing w:after="110" w:before="0"/>
      </w:pPr>
      <w:r>
        <w:rPr>
          <w:rFonts w:ascii="Calibri" w:cs="Calibri" w:eastAsia="Calibri" w:hAnsi="Calibri"/>
          <w:b w:val="false"/>
          <w:bCs w:val="false"/>
          <w:i w:val="false"/>
          <w:iCs w:val="false"/>
          <w:color w:val="000000"/>
          <w:sz w:val="20"/>
          <w:szCs w:val="20"/>
        </w:rPr>
        <w:t xml:space="preserve">Each was checked by name against the new scan.</w:t>
      </w:r>
    </w:p>
    <w:tbl>
      <w:tblPr>
        <w:tblW w:type="dxa" w:w="9360"/>
        <w:tblBorders>
          <w:top w:val="single" w:color="B8C4D9" w:sz="4"/>
          <w:left w:val="single" w:color="B8C4D9" w:sz="4"/>
          <w:bottom w:val="single" w:color="B8C4D9" w:sz="4"/>
          <w:right w:val="single" w:color="B8C4D9" w:sz="4"/>
          <w:insideH w:val="single" w:color="D6DEEB" w:sz="2"/>
          <w:insideV w:val="single" w:color="D6DEEB" w:sz="2"/>
        </w:tblBorders>
      </w:tblPr>
      <w:tblGrid>
        <w:gridCol w:w="2300"/>
        <w:gridCol w:w="2500"/>
        <w:gridCol w:w="1400"/>
        <w:gridCol w:w="3160"/>
      </w:tblGrid>
      <w:tr>
        <w:trPr>
          <w:tblHeader/>
        </w:trPr>
        <w:tc>
          <w:tcPr>
            <w:tcW w:type="dxa" w:w="2300"/>
            <w:shd w:fill="1F3864" w:color="auto" w:val="clear"/>
            <w:tcMar>
              <w:top w:type="dxa" w:w="55"/>
              <w:left w:type="dxa" w:w="105"/>
              <w:bottom w:type="dxa" w:w="55"/>
              <w:right w:type="dxa" w:w="105"/>
            </w:tcMar>
          </w:tcPr>
          <w:p>
            <w:pPr>
              <w:spacing w:after="0" w:before="0"/>
            </w:pPr>
            <w:r>
              <w:rPr>
                <w:rFonts w:ascii="Calibri" w:cs="Calibri" w:eastAsia="Calibri" w:hAnsi="Calibri"/>
                <w:b/>
                <w:bCs/>
                <w:i w:val="false"/>
                <w:iCs w:val="false"/>
                <w:color w:val="FFFFFF"/>
                <w:sz w:val="18"/>
                <w:szCs w:val="18"/>
              </w:rPr>
              <w:t xml:space="preserve">CVE</w:t>
            </w:r>
          </w:p>
        </w:tc>
        <w:tc>
          <w:tcPr>
            <w:tcW w:type="dxa" w:w="250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Package</w:t>
            </w:r>
          </w:p>
        </w:tc>
        <w:tc>
          <w:tcPr>
            <w:tcW w:type="dxa" w:w="140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Status</w:t>
            </w:r>
          </w:p>
        </w:tc>
        <w:tc>
          <w:tcPr>
            <w:tcW w:type="dxa" w:w="316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How</w:t>
            </w:r>
          </w:p>
        </w:tc>
      </w:tr>
      <w:tr>
        <w:tc>
          <w:tcPr>
            <w:tcW w:type="dxa" w:w="23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CVE-2023-37920</w:t>
            </w:r>
          </w:p>
        </w:tc>
        <w:tc>
          <w:tcPr>
            <w:tcW w:type="dxa" w:w="25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python3-pip</w:t>
            </w:r>
          </w:p>
        </w:tc>
        <w:tc>
          <w:tcPr>
            <w:tcW w:type="dxa" w:w="1400"/>
            <w:tcMar>
              <w:top w:type="dxa" w:w="55"/>
              <w:left w:type="dxa" w:w="105"/>
              <w:bottom w:type="dxa" w:w="55"/>
              <w:right w:type="dxa" w:w="105"/>
            </w:tcMar>
          </w:tcPr>
          <w:p>
            <w:pPr>
              <w:spacing w:after="0" w:before="0"/>
            </w:pPr>
            <w:r>
              <w:rPr>
                <w:rFonts w:ascii="Calibri" w:cs="Calibri" w:eastAsia="Calibri" w:hAnsi="Calibri"/>
                <w:b/>
                <w:bCs/>
                <w:i w:val="false"/>
                <w:iCs w:val="false"/>
                <w:color w:val="1E7145"/>
                <w:sz w:val="18"/>
                <w:szCs w:val="18"/>
              </w:rPr>
              <w:t xml:space="preserve">Gone</w:t>
            </w:r>
          </w:p>
        </w:tc>
        <w:tc>
          <w:tcPr>
            <w:tcW w:type="dxa" w:w="316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python3-pip dropped from runtime stage</w:t>
            </w:r>
          </w:p>
        </w:tc>
      </w:tr>
      <w:tr>
        <w:tc>
          <w:tcPr>
            <w:tcW w:type="dxa" w:w="23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CVE-2024-39689</w:t>
            </w:r>
          </w:p>
        </w:tc>
        <w:tc>
          <w:tcPr>
            <w:tcW w:type="dxa" w:w="25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python3-pip</w:t>
            </w:r>
          </w:p>
        </w:tc>
        <w:tc>
          <w:tcPr>
            <w:tcW w:type="dxa" w:w="1400"/>
            <w:shd w:fill="F2F5FA" w:color="auto" w:val="clear"/>
            <w:tcMar>
              <w:top w:type="dxa" w:w="55"/>
              <w:left w:type="dxa" w:w="105"/>
              <w:bottom w:type="dxa" w:w="55"/>
              <w:right w:type="dxa" w:w="105"/>
            </w:tcMar>
          </w:tcPr>
          <w:p>
            <w:pPr>
              <w:spacing w:after="0" w:before="0"/>
            </w:pPr>
            <w:r>
              <w:rPr>
                <w:rFonts w:ascii="Calibri" w:cs="Calibri" w:eastAsia="Calibri" w:hAnsi="Calibri"/>
                <w:b/>
                <w:bCs/>
                <w:i w:val="false"/>
                <w:iCs w:val="false"/>
                <w:color w:val="1E7145"/>
                <w:sz w:val="18"/>
                <w:szCs w:val="18"/>
              </w:rPr>
              <w:t xml:space="preserve">Gone</w:t>
            </w:r>
          </w:p>
        </w:tc>
        <w:tc>
          <w:tcPr>
            <w:tcW w:type="dxa" w:w="316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same</w:t>
            </w:r>
          </w:p>
        </w:tc>
      </w:tr>
      <w:tr>
        <w:tc>
          <w:tcPr>
            <w:tcW w:type="dxa" w:w="23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CVE-2026-57585</w:t>
            </w:r>
          </w:p>
        </w:tc>
        <w:tc>
          <w:tcPr>
            <w:tcW w:type="dxa" w:w="25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python3-pip</w:t>
            </w:r>
          </w:p>
        </w:tc>
        <w:tc>
          <w:tcPr>
            <w:tcW w:type="dxa" w:w="1400"/>
            <w:tcMar>
              <w:top w:type="dxa" w:w="55"/>
              <w:left w:type="dxa" w:w="105"/>
              <w:bottom w:type="dxa" w:w="55"/>
              <w:right w:type="dxa" w:w="105"/>
            </w:tcMar>
          </w:tcPr>
          <w:p>
            <w:pPr>
              <w:spacing w:after="0" w:before="0"/>
            </w:pPr>
            <w:r>
              <w:rPr>
                <w:rFonts w:ascii="Calibri" w:cs="Calibri" w:eastAsia="Calibri" w:hAnsi="Calibri"/>
                <w:b/>
                <w:bCs/>
                <w:i w:val="false"/>
                <w:iCs w:val="false"/>
                <w:color w:val="1E7145"/>
                <w:sz w:val="18"/>
                <w:szCs w:val="18"/>
              </w:rPr>
              <w:t xml:space="preserve">Gone</w:t>
            </w:r>
          </w:p>
        </w:tc>
        <w:tc>
          <w:tcPr>
            <w:tcW w:type="dxa" w:w="316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same</w:t>
            </w:r>
          </w:p>
        </w:tc>
      </w:tr>
      <w:tr>
        <w:tc>
          <w:tcPr>
            <w:tcW w:type="dxa" w:w="23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CVE-2024-3772</w:t>
            </w:r>
          </w:p>
        </w:tc>
        <w:tc>
          <w:tcPr>
            <w:tcW w:type="dxa" w:w="25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pydantic</w:t>
            </w:r>
          </w:p>
        </w:tc>
        <w:tc>
          <w:tcPr>
            <w:tcW w:type="dxa" w:w="1400"/>
            <w:shd w:fill="F2F5FA" w:color="auto" w:val="clear"/>
            <w:tcMar>
              <w:top w:type="dxa" w:w="55"/>
              <w:left w:type="dxa" w:w="105"/>
              <w:bottom w:type="dxa" w:w="55"/>
              <w:right w:type="dxa" w:w="105"/>
            </w:tcMar>
          </w:tcPr>
          <w:p>
            <w:pPr>
              <w:spacing w:after="0" w:before="0"/>
            </w:pPr>
            <w:r>
              <w:rPr>
                <w:rFonts w:ascii="Calibri" w:cs="Calibri" w:eastAsia="Calibri" w:hAnsi="Calibri"/>
                <w:b/>
                <w:bCs/>
                <w:i w:val="false"/>
                <w:iCs w:val="false"/>
                <w:color w:val="1E7145"/>
                <w:sz w:val="18"/>
                <w:szCs w:val="18"/>
              </w:rPr>
              <w:t xml:space="preserve">Gone</w:t>
            </w:r>
          </w:p>
        </w:tc>
        <w:tc>
          <w:tcPr>
            <w:tcW w:type="dxa" w:w="316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pydantic 1.10.9 to 1.10.26</w:t>
            </w:r>
          </w:p>
        </w:tc>
      </w:tr>
      <w:tr>
        <w:tc>
          <w:tcPr>
            <w:tcW w:type="dxa" w:w="23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CVE-2025-66418</w:t>
            </w:r>
          </w:p>
        </w:tc>
        <w:tc>
          <w:tcPr>
            <w:tcW w:type="dxa" w:w="25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urllib3</w:t>
            </w:r>
          </w:p>
        </w:tc>
        <w:tc>
          <w:tcPr>
            <w:tcW w:type="dxa" w:w="1400"/>
            <w:tcMar>
              <w:top w:type="dxa" w:w="55"/>
              <w:left w:type="dxa" w:w="105"/>
              <w:bottom w:type="dxa" w:w="55"/>
              <w:right w:type="dxa" w:w="105"/>
            </w:tcMar>
          </w:tcPr>
          <w:p>
            <w:pPr>
              <w:spacing w:after="0" w:before="0"/>
            </w:pPr>
            <w:r>
              <w:rPr>
                <w:rFonts w:ascii="Calibri" w:cs="Calibri" w:eastAsia="Calibri" w:hAnsi="Calibri"/>
                <w:b/>
                <w:bCs/>
                <w:i w:val="false"/>
                <w:iCs w:val="false"/>
                <w:color w:val="1E7145"/>
                <w:sz w:val="18"/>
                <w:szCs w:val="18"/>
              </w:rPr>
              <w:t xml:space="preserve">Gone</w:t>
            </w:r>
          </w:p>
        </w:tc>
        <w:tc>
          <w:tcPr>
            <w:tcW w:type="dxa" w:w="316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urllib3 to 2.8.0 via boto3 bump</w:t>
            </w:r>
          </w:p>
        </w:tc>
      </w:tr>
      <w:tr>
        <w:tc>
          <w:tcPr>
            <w:tcW w:type="dxa" w:w="23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CVE-2025-66471</w:t>
            </w:r>
          </w:p>
        </w:tc>
        <w:tc>
          <w:tcPr>
            <w:tcW w:type="dxa" w:w="25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urllib3</w:t>
            </w:r>
          </w:p>
        </w:tc>
        <w:tc>
          <w:tcPr>
            <w:tcW w:type="dxa" w:w="1400"/>
            <w:shd w:fill="F2F5FA" w:color="auto" w:val="clear"/>
            <w:tcMar>
              <w:top w:type="dxa" w:w="55"/>
              <w:left w:type="dxa" w:w="105"/>
              <w:bottom w:type="dxa" w:w="55"/>
              <w:right w:type="dxa" w:w="105"/>
            </w:tcMar>
          </w:tcPr>
          <w:p>
            <w:pPr>
              <w:spacing w:after="0" w:before="0"/>
            </w:pPr>
            <w:r>
              <w:rPr>
                <w:rFonts w:ascii="Calibri" w:cs="Calibri" w:eastAsia="Calibri" w:hAnsi="Calibri"/>
                <w:b/>
                <w:bCs/>
                <w:i w:val="false"/>
                <w:iCs w:val="false"/>
                <w:color w:val="1E7145"/>
                <w:sz w:val="18"/>
                <w:szCs w:val="18"/>
              </w:rPr>
              <w:t xml:space="preserve">Gone</w:t>
            </w:r>
          </w:p>
        </w:tc>
        <w:tc>
          <w:tcPr>
            <w:tcW w:type="dxa" w:w="316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same</w:t>
            </w:r>
          </w:p>
        </w:tc>
      </w:tr>
      <w:tr>
        <w:tc>
          <w:tcPr>
            <w:tcW w:type="dxa" w:w="23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CVE-2026-21441</w:t>
            </w:r>
          </w:p>
        </w:tc>
        <w:tc>
          <w:tcPr>
            <w:tcW w:type="dxa" w:w="25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urllib3</w:t>
            </w:r>
          </w:p>
        </w:tc>
        <w:tc>
          <w:tcPr>
            <w:tcW w:type="dxa" w:w="1400"/>
            <w:tcMar>
              <w:top w:type="dxa" w:w="55"/>
              <w:left w:type="dxa" w:w="105"/>
              <w:bottom w:type="dxa" w:w="55"/>
              <w:right w:type="dxa" w:w="105"/>
            </w:tcMar>
          </w:tcPr>
          <w:p>
            <w:pPr>
              <w:spacing w:after="0" w:before="0"/>
            </w:pPr>
            <w:r>
              <w:rPr>
                <w:rFonts w:ascii="Calibri" w:cs="Calibri" w:eastAsia="Calibri" w:hAnsi="Calibri"/>
                <w:b/>
                <w:bCs/>
                <w:i w:val="false"/>
                <w:iCs w:val="false"/>
                <w:color w:val="1E7145"/>
                <w:sz w:val="18"/>
                <w:szCs w:val="18"/>
              </w:rPr>
              <w:t xml:space="preserve">Gone</w:t>
            </w:r>
          </w:p>
        </w:tc>
        <w:tc>
          <w:tcPr>
            <w:tcW w:type="dxa" w:w="316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same</w:t>
            </w:r>
          </w:p>
        </w:tc>
      </w:tr>
      <w:tr>
        <w:tc>
          <w:tcPr>
            <w:tcW w:type="dxa" w:w="23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CVE-2026-44431</w:t>
            </w:r>
          </w:p>
        </w:tc>
        <w:tc>
          <w:tcPr>
            <w:tcW w:type="dxa" w:w="25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urllib3</w:t>
            </w:r>
          </w:p>
        </w:tc>
        <w:tc>
          <w:tcPr>
            <w:tcW w:type="dxa" w:w="1400"/>
            <w:shd w:fill="F2F5FA" w:color="auto" w:val="clear"/>
            <w:tcMar>
              <w:top w:type="dxa" w:w="55"/>
              <w:left w:type="dxa" w:w="105"/>
              <w:bottom w:type="dxa" w:w="55"/>
              <w:right w:type="dxa" w:w="105"/>
            </w:tcMar>
          </w:tcPr>
          <w:p>
            <w:pPr>
              <w:spacing w:after="0" w:before="0"/>
            </w:pPr>
            <w:r>
              <w:rPr>
                <w:rFonts w:ascii="Calibri" w:cs="Calibri" w:eastAsia="Calibri" w:hAnsi="Calibri"/>
                <w:b/>
                <w:bCs/>
                <w:i w:val="false"/>
                <w:iCs w:val="false"/>
                <w:color w:val="1E7145"/>
                <w:sz w:val="18"/>
                <w:szCs w:val="18"/>
              </w:rPr>
              <w:t xml:space="preserve">Gone</w:t>
            </w:r>
          </w:p>
        </w:tc>
        <w:tc>
          <w:tcPr>
            <w:tcW w:type="dxa" w:w="316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same</w:t>
            </w:r>
          </w:p>
        </w:tc>
      </w:tr>
      <w:tr>
        <w:tc>
          <w:tcPr>
            <w:tcW w:type="dxa" w:w="23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CVE-2026-44432</w:t>
            </w:r>
          </w:p>
        </w:tc>
        <w:tc>
          <w:tcPr>
            <w:tcW w:type="dxa" w:w="25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urllib3</w:t>
            </w:r>
          </w:p>
        </w:tc>
        <w:tc>
          <w:tcPr>
            <w:tcW w:type="dxa" w:w="1400"/>
            <w:tcMar>
              <w:top w:type="dxa" w:w="55"/>
              <w:left w:type="dxa" w:w="105"/>
              <w:bottom w:type="dxa" w:w="55"/>
              <w:right w:type="dxa" w:w="105"/>
            </w:tcMar>
          </w:tcPr>
          <w:p>
            <w:pPr>
              <w:spacing w:after="0" w:before="0"/>
            </w:pPr>
            <w:r>
              <w:rPr>
                <w:rFonts w:ascii="Calibri" w:cs="Calibri" w:eastAsia="Calibri" w:hAnsi="Calibri"/>
                <w:b/>
                <w:bCs/>
                <w:i w:val="false"/>
                <w:iCs w:val="false"/>
                <w:color w:val="1E7145"/>
                <w:sz w:val="18"/>
                <w:szCs w:val="18"/>
              </w:rPr>
              <w:t xml:space="preserve">Gone</w:t>
            </w:r>
          </w:p>
        </w:tc>
        <w:tc>
          <w:tcPr>
            <w:tcW w:type="dxa" w:w="316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same</w:t>
            </w:r>
          </w:p>
        </w:tc>
      </w:tr>
    </w:tbl>
    <w:p>
      <w:pPr>
        <w:spacing w:after="150" w:before="0"/>
      </w:pPr>
      <w:r>
        <w:rPr>
          <w:rFonts w:ascii="Calibri" w:cs="Calibri" w:eastAsia="Calibri" w:hAnsi="Calibri"/>
          <w:b w:val="false"/>
          <w:bCs w:val="false"/>
          <w:i w:val="false"/>
          <w:iCs w:val="false"/>
          <w:color w:val="000000"/>
          <w:sz w:val="20"/>
          <w:szCs w:val="20"/>
        </w:rPr>
        <w:t xml:space="preserve"/>
      </w:r>
    </w:p>
    <w:p>
      <w:pPr>
        <w:spacing w:after="0" w:before="0"/>
      </w:pPr>
      <w:r>
        <w:rPr>
          <w:rFonts w:ascii="Calibri" w:cs="Calibri" w:eastAsia="Calibri" w:hAnsi="Calibri"/>
          <w:b/>
          <w:bCs/>
          <w:i w:val="false"/>
          <w:iCs w:val="false"/>
          <w:color w:val="1E7145"/>
          <w:sz w:val="20"/>
          <w:szCs w:val="20"/>
        </w:rPr>
        <w:t xml:space="preserve">Nine of nine. </w:t>
      </w:r>
      <w:r>
        <w:rPr>
          <w:rFonts w:ascii="Calibri" w:cs="Calibri" w:eastAsia="Calibri" w:hAnsi="Calibri"/>
          <w:b w:val="false"/>
          <w:bCs w:val="false"/>
          <w:i w:val="false"/>
          <w:iCs w:val="false"/>
          <w:color w:val="000000"/>
          <w:sz w:val="20"/>
          <w:szCs w:val="20"/>
        </w:rPr>
        <w:t xml:space="preserve">The changes also reached the repository where CI runs, which was an open gap previously.</w:t>
      </w:r>
    </w:p>
    <w:p>
      <w:r>
        <w:br w:type="page"/>
      </w:r>
    </w:p>
    <w:p>
      <w:pPr>
        <w:spacing w:after="110" w:before="0"/>
      </w:pPr>
      <w:r>
        <w:rPr>
          <w:rFonts w:ascii="Calibri" w:cs="Calibri" w:eastAsia="Calibri" w:hAnsi="Calibri"/>
          <w:b/>
          <w:bCs/>
          <w:i w:val="false"/>
          <w:iCs w:val="false"/>
          <w:color w:val="1F3864"/>
          <w:sz w:val="24"/>
          <w:szCs w:val="24"/>
        </w:rPr>
        <w:t xml:space="preserve">2. What remains fixable: nine findings, one cause</w:t>
      </w:r>
    </w:p>
    <w:p>
      <w:pPr>
        <w:spacing w:after="120" w:before="0"/>
      </w:pPr>
      <w:r>
        <w:rPr>
          <w:rFonts w:ascii="Calibri" w:cs="Calibri" w:eastAsia="Calibri" w:hAnsi="Calibri"/>
          <w:b w:val="false"/>
          <w:bCs w:val="false"/>
          <w:i w:val="false"/>
          <w:iCs w:val="false"/>
          <w:color w:val="000000"/>
          <w:sz w:val="20"/>
          <w:szCs w:val="20"/>
        </w:rPr>
        <w:t xml:space="preserve">Every remaining fixable finding is torch or transformers. Nothing else is left to fix in code.</w:t>
      </w:r>
    </w:p>
    <w:tbl>
      <w:tblPr>
        <w:tblW w:type="dxa" w:w="9360"/>
        <w:tblBorders>
          <w:top w:val="single" w:color="B8C4D9" w:sz="4"/>
          <w:left w:val="single" w:color="B8C4D9" w:sz="4"/>
          <w:bottom w:val="single" w:color="B8C4D9" w:sz="4"/>
          <w:right w:val="single" w:color="B8C4D9" w:sz="4"/>
          <w:insideH w:val="single" w:color="D6DEEB" w:sz="2"/>
          <w:insideV w:val="single" w:color="D6DEEB" w:sz="2"/>
        </w:tblBorders>
      </w:tblPr>
      <w:tblGrid>
        <w:gridCol w:w="2150"/>
        <w:gridCol w:w="2150"/>
        <w:gridCol w:w="1700"/>
        <w:gridCol w:w="3360"/>
      </w:tblGrid>
      <w:tr>
        <w:trPr>
          <w:tblHeader/>
        </w:trPr>
        <w:tc>
          <w:tcPr>
            <w:tcW w:type="dxa" w:w="2150"/>
            <w:shd w:fill="1F3864" w:color="auto" w:val="clear"/>
            <w:tcMar>
              <w:top w:type="dxa" w:w="55"/>
              <w:left w:type="dxa" w:w="105"/>
              <w:bottom w:type="dxa" w:w="55"/>
              <w:right w:type="dxa" w:w="105"/>
            </w:tcMar>
          </w:tcPr>
          <w:p>
            <w:pPr>
              <w:spacing w:after="0" w:before="0"/>
            </w:pPr>
            <w:r>
              <w:rPr>
                <w:rFonts w:ascii="Calibri" w:cs="Calibri" w:eastAsia="Calibri" w:hAnsi="Calibri"/>
                <w:b/>
                <w:bCs/>
                <w:i w:val="false"/>
                <w:iCs w:val="false"/>
                <w:color w:val="FFFFFF"/>
                <w:sz w:val="18"/>
                <w:szCs w:val="18"/>
              </w:rPr>
              <w:t xml:space="preserve">CVE</w:t>
            </w:r>
          </w:p>
        </w:tc>
        <w:tc>
          <w:tcPr>
            <w:tcW w:type="dxa" w:w="215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Package</w:t>
            </w:r>
          </w:p>
        </w:tc>
        <w:tc>
          <w:tcPr>
            <w:tcW w:type="dxa" w:w="170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Severity</w:t>
            </w:r>
          </w:p>
        </w:tc>
        <w:tc>
          <w:tcPr>
            <w:tcW w:type="dxa" w:w="336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Needs</w:t>
            </w:r>
          </w:p>
        </w:tc>
      </w:tr>
      <w:tr>
        <w:tc>
          <w:tcPr>
            <w:tcW w:type="dxa" w:w="215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CVE-2025-32434</w:t>
            </w:r>
          </w:p>
        </w:tc>
        <w:tc>
          <w:tcPr>
            <w:tcW w:type="dxa" w:w="215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torch</w:t>
            </w:r>
          </w:p>
        </w:tc>
        <w:tc>
          <w:tcPr>
            <w:tcW w:type="dxa" w:w="1700"/>
            <w:tcMar>
              <w:top w:type="dxa" w:w="55"/>
              <w:left w:type="dxa" w:w="105"/>
              <w:bottom w:type="dxa" w:w="55"/>
              <w:right w:type="dxa" w:w="105"/>
            </w:tcMar>
          </w:tcPr>
          <w:p>
            <w:pPr>
              <w:spacing w:after="0" w:before="0"/>
            </w:pPr>
            <w:r>
              <w:rPr>
                <w:rFonts w:ascii="Calibri" w:cs="Calibri" w:eastAsia="Calibri" w:hAnsi="Calibri"/>
                <w:b/>
                <w:bCs/>
                <w:i w:val="false"/>
                <w:iCs w:val="false"/>
                <w:color w:val="B03030"/>
                <w:sz w:val="18"/>
                <w:szCs w:val="18"/>
              </w:rPr>
              <w:t xml:space="preserve">Critical</w:t>
            </w:r>
          </w:p>
        </w:tc>
        <w:tc>
          <w:tcPr>
            <w:tcW w:type="dxa" w:w="336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torch 2.6.0</w:t>
            </w:r>
          </w:p>
        </w:tc>
      </w:tr>
      <w:tr>
        <w:tc>
          <w:tcPr>
            <w:tcW w:type="dxa" w:w="215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CVE-2026-5241</w:t>
            </w:r>
          </w:p>
        </w:tc>
        <w:tc>
          <w:tcPr>
            <w:tcW w:type="dxa" w:w="215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transformers</w:t>
            </w:r>
          </w:p>
        </w:tc>
        <w:tc>
          <w:tcPr>
            <w:tcW w:type="dxa" w:w="1700"/>
            <w:shd w:fill="F2F5FA" w:color="auto" w:val="clear"/>
            <w:tcMar>
              <w:top w:type="dxa" w:w="55"/>
              <w:left w:type="dxa" w:w="105"/>
              <w:bottom w:type="dxa" w:w="55"/>
              <w:right w:type="dxa" w:w="105"/>
            </w:tcMar>
          </w:tcPr>
          <w:p>
            <w:pPr>
              <w:spacing w:after="0" w:before="0"/>
            </w:pPr>
            <w:r>
              <w:rPr>
                <w:rFonts w:ascii="Calibri" w:cs="Calibri" w:eastAsia="Calibri" w:hAnsi="Calibri"/>
                <w:b/>
                <w:bCs/>
                <w:i w:val="false"/>
                <w:iCs w:val="false"/>
                <w:color w:val="B03030"/>
                <w:sz w:val="18"/>
                <w:szCs w:val="18"/>
              </w:rPr>
              <w:t xml:space="preserve">Critical</w:t>
            </w:r>
          </w:p>
        </w:tc>
        <w:tc>
          <w:tcPr>
            <w:tcW w:type="dxa" w:w="336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transformers 5.5.0 - but see note</w:t>
            </w:r>
          </w:p>
        </w:tc>
      </w:tr>
      <w:tr>
        <w:tc>
          <w:tcPr>
            <w:tcW w:type="dxa" w:w="215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CVE-2024-31580</w:t>
            </w:r>
          </w:p>
        </w:tc>
        <w:tc>
          <w:tcPr>
            <w:tcW w:type="dxa" w:w="215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torch</w:t>
            </w:r>
          </w:p>
        </w:tc>
        <w:tc>
          <w:tcPr>
            <w:tcW w:type="dxa" w:w="17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High</w:t>
            </w:r>
          </w:p>
        </w:tc>
        <w:tc>
          <w:tcPr>
            <w:tcW w:type="dxa" w:w="336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torch 2.2.0</w:t>
            </w:r>
          </w:p>
        </w:tc>
      </w:tr>
      <w:tr>
        <w:tc>
          <w:tcPr>
            <w:tcW w:type="dxa" w:w="215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CVE-2024-31583</w:t>
            </w:r>
          </w:p>
        </w:tc>
        <w:tc>
          <w:tcPr>
            <w:tcW w:type="dxa" w:w="215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torch</w:t>
            </w:r>
          </w:p>
        </w:tc>
        <w:tc>
          <w:tcPr>
            <w:tcW w:type="dxa" w:w="17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High</w:t>
            </w:r>
          </w:p>
        </w:tc>
        <w:tc>
          <w:tcPr>
            <w:tcW w:type="dxa" w:w="336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torch 2.2.0</w:t>
            </w:r>
          </w:p>
        </w:tc>
      </w:tr>
      <w:tr>
        <w:tc>
          <w:tcPr>
            <w:tcW w:type="dxa" w:w="215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CVE-2025-2099</w:t>
            </w:r>
          </w:p>
        </w:tc>
        <w:tc>
          <w:tcPr>
            <w:tcW w:type="dxa" w:w="215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transformers</w:t>
            </w:r>
          </w:p>
        </w:tc>
        <w:tc>
          <w:tcPr>
            <w:tcW w:type="dxa" w:w="17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High</w:t>
            </w:r>
          </w:p>
        </w:tc>
        <w:tc>
          <w:tcPr>
            <w:tcW w:type="dxa" w:w="336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transformers 4.50.0</w:t>
            </w:r>
          </w:p>
        </w:tc>
      </w:tr>
      <w:tr>
        <w:tc>
          <w:tcPr>
            <w:tcW w:type="dxa" w:w="215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CVE-2025-6638</w:t>
            </w:r>
          </w:p>
        </w:tc>
        <w:tc>
          <w:tcPr>
            <w:tcW w:type="dxa" w:w="215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transformers</w:t>
            </w:r>
          </w:p>
        </w:tc>
        <w:tc>
          <w:tcPr>
            <w:tcW w:type="dxa" w:w="17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High</w:t>
            </w:r>
          </w:p>
        </w:tc>
        <w:tc>
          <w:tcPr>
            <w:tcW w:type="dxa" w:w="336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transformers 4.53.0</w:t>
            </w:r>
          </w:p>
        </w:tc>
      </w:tr>
      <w:tr>
        <w:tc>
          <w:tcPr>
            <w:tcW w:type="dxa" w:w="215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CVE-2025-6921</w:t>
            </w:r>
          </w:p>
        </w:tc>
        <w:tc>
          <w:tcPr>
            <w:tcW w:type="dxa" w:w="215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transformers</w:t>
            </w:r>
          </w:p>
        </w:tc>
        <w:tc>
          <w:tcPr>
            <w:tcW w:type="dxa" w:w="17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High</w:t>
            </w:r>
          </w:p>
        </w:tc>
        <w:tc>
          <w:tcPr>
            <w:tcW w:type="dxa" w:w="336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transformers 4.53.0</w:t>
            </w:r>
          </w:p>
        </w:tc>
      </w:tr>
      <w:tr>
        <w:tc>
          <w:tcPr>
            <w:tcW w:type="dxa" w:w="215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CVE-2026-1839</w:t>
            </w:r>
          </w:p>
        </w:tc>
        <w:tc>
          <w:tcPr>
            <w:tcW w:type="dxa" w:w="215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transformers</w:t>
            </w:r>
          </w:p>
        </w:tc>
        <w:tc>
          <w:tcPr>
            <w:tcW w:type="dxa" w:w="17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High</w:t>
            </w:r>
          </w:p>
        </w:tc>
        <w:tc>
          <w:tcPr>
            <w:tcW w:type="dxa" w:w="336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transformers 5.0.0rc3</w:t>
            </w:r>
          </w:p>
        </w:tc>
      </w:tr>
      <w:tr>
        <w:tc>
          <w:tcPr>
            <w:tcW w:type="dxa" w:w="215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CVE-2026-4372</w:t>
            </w:r>
          </w:p>
        </w:tc>
        <w:tc>
          <w:tcPr>
            <w:tcW w:type="dxa" w:w="215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transformers</w:t>
            </w:r>
          </w:p>
        </w:tc>
        <w:tc>
          <w:tcPr>
            <w:tcW w:type="dxa" w:w="17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High</w:t>
            </w:r>
          </w:p>
        </w:tc>
        <w:tc>
          <w:tcPr>
            <w:tcW w:type="dxa" w:w="336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transformers 5.3.0</w:t>
            </w:r>
          </w:p>
        </w:tc>
      </w:tr>
    </w:tbl>
    <w:p>
      <w:pPr>
        <w:spacing w:after="140" w:before="0"/>
      </w:pPr>
      <w:r>
        <w:rPr>
          <w:rFonts w:ascii="Calibri" w:cs="Calibri" w:eastAsia="Calibri" w:hAnsi="Calibri"/>
          <w:b w:val="false"/>
          <w:bCs w:val="false"/>
          <w:i w:val="false"/>
          <w:iCs w:val="false"/>
          <w:color w:val="000000"/>
          <w:sz w:val="20"/>
          <w:szCs w:val="20"/>
        </w:rPr>
        <w:t xml:space="preserve"/>
      </w:r>
    </w:p>
    <w:p>
      <w:pPr>
        <w:spacing w:after="180" w:before="0"/>
      </w:pPr>
      <w:r>
        <w:rPr>
          <w:rFonts w:ascii="Calibri" w:cs="Calibri" w:eastAsia="Calibri" w:hAnsi="Calibri"/>
          <w:b/>
          <w:bCs/>
          <w:i w:val="false"/>
          <w:iCs w:val="false"/>
          <w:color w:val="9C6500"/>
          <w:sz w:val="20"/>
          <w:szCs w:val="20"/>
        </w:rPr>
        <w:t xml:space="preserve">Note on CVE-2026-5241: </w:t>
      </w:r>
      <w:r>
        <w:rPr>
          <w:rFonts w:ascii="Calibri" w:cs="Calibri" w:eastAsia="Calibri" w:hAnsi="Calibri"/>
          <w:b w:val="false"/>
          <w:bCs w:val="false"/>
          <w:i w:val="false"/>
          <w:iCs w:val="false"/>
          <w:color w:val="000000"/>
          <w:sz w:val="20"/>
          <w:szCs w:val="20"/>
        </w:rPr>
        <w:t xml:space="preserve">this one cannot be fixed by upgrading, because the vulnerable LightGlue file does not exist in the transformers 4.x line at all. It needs an exception filed in the Tenable console. Evidence is in docker/SECURITY-EXCEPTIONS.md. Filing it removes one Critical with no code change.</w:t>
      </w:r>
    </w:p>
    <w:p>
      <w:pPr>
        <w:spacing w:after="110" w:before="230"/>
      </w:pPr>
      <w:r>
        <w:rPr>
          <w:rFonts w:ascii="Calibri" w:cs="Calibri" w:eastAsia="Calibri" w:hAnsi="Calibri"/>
          <w:b/>
          <w:bCs/>
          <w:i w:val="false"/>
          <w:iCs w:val="false"/>
          <w:color w:val="1F3864"/>
          <w:sz w:val="24"/>
          <w:szCs w:val="24"/>
        </w:rPr>
        <w:t xml:space="preserve">3. The single blocker behind the other eight</w:t>
      </w:r>
    </w:p>
    <w:p>
      <w:pPr>
        <w:spacing w:after="130" w:before="0"/>
      </w:pPr>
      <w:r>
        <w:rPr>
          <w:rFonts w:ascii="Calibri" w:cs="Calibri" w:eastAsia="Calibri" w:hAnsi="Calibri"/>
          <w:b w:val="false"/>
          <w:bCs w:val="false"/>
          <w:i w:val="false"/>
          <w:iCs w:val="false"/>
          <w:color w:val="000000"/>
          <w:sz w:val="20"/>
          <w:szCs w:val="20"/>
        </w:rPr>
        <w:t xml:space="preserve">The fix for CVE-2025-32434 </w:t>
      </w:r>
      <w:r>
        <w:rPr>
          <w:rFonts w:ascii="Calibri" w:cs="Calibri" w:eastAsia="Calibri" w:hAnsi="Calibri"/>
          <w:b w:val="false"/>
          <w:bCs w:val="false"/>
          <w:i/>
          <w:iCs/>
          <w:color w:val="000000"/>
          <w:sz w:val="20"/>
          <w:szCs w:val="20"/>
        </w:rPr>
        <w:t xml:space="preserve">is</w:t>
      </w:r>
      <w:r>
        <w:rPr>
          <w:rFonts w:ascii="Calibri" w:cs="Calibri" w:eastAsia="Calibri" w:hAnsi="Calibri"/>
          <w:b w:val="false"/>
          <w:bCs w:val="false"/>
          <w:i w:val="false"/>
          <w:iCs w:val="false"/>
          <w:color w:val="000000"/>
          <w:sz w:val="20"/>
          <w:szCs w:val="20"/>
        </w:rPr>
        <w:t xml:space="preserve"> PyTorch changing torch.load to weights_only=True by default. fairseq loads the model checkpoint on the old assumption, so upgrading torch makes the summariser fail to load. transformers cannot move either, because versions from 4.50.0 need torch 2.1 or newer.</w:t>
      </w:r>
    </w:p>
    <w:tbl>
      <w:tblPr>
        <w:tblW w:type="dxa" w:w="9360"/>
        <w:tblBorders>
          <w:top w:val="single" w:color="B8C4D9" w:sz="4"/>
          <w:left w:val="single" w:color="B8C4D9" w:sz="4"/>
          <w:bottom w:val="single" w:color="B8C4D9" w:sz="4"/>
          <w:right w:val="single" w:color="B8C4D9" w:sz="4"/>
          <w:insideH w:val="single" w:color="D6DEEB" w:sz="2"/>
          <w:insideV w:val="single" w:color="D6DEEB" w:sz="2"/>
        </w:tblBorders>
      </w:tblPr>
      <w:tblGrid>
        <w:gridCol w:w="3100"/>
        <w:gridCol w:w="3130"/>
        <w:gridCol w:w="3130"/>
      </w:tblGrid>
      <w:tr>
        <w:trPr>
          <w:tblHeader/>
        </w:trPr>
        <w:tc>
          <w:tcPr>
            <w:tcW w:type="dxa" w:w="3100"/>
            <w:shd w:fill="1F3864" w:color="auto" w:val="clear"/>
            <w:tcMar>
              <w:top w:type="dxa" w:w="55"/>
              <w:left w:type="dxa" w:w="105"/>
              <w:bottom w:type="dxa" w:w="55"/>
              <w:right w:type="dxa" w:w="105"/>
            </w:tcMar>
          </w:tcPr>
          <w:p>
            <w:pPr>
              <w:spacing w:after="0" w:before="0"/>
            </w:pPr>
            <w:r>
              <w:rPr>
                <w:rFonts w:ascii="Calibri" w:cs="Calibri" w:eastAsia="Calibri" w:hAnsi="Calibri"/>
                <w:b/>
                <w:bCs/>
                <w:i w:val="false"/>
                <w:iCs w:val="false"/>
                <w:color w:val="FFFFFF"/>
                <w:sz w:val="18"/>
                <w:szCs w:val="18"/>
              </w:rPr>
              <w:t xml:space="preserve"/>
            </w:r>
          </w:p>
        </w:tc>
        <w:tc>
          <w:tcPr>
            <w:tcW w:type="dxa" w:w="313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torch 2.0.0 (today)</w:t>
            </w:r>
          </w:p>
        </w:tc>
        <w:tc>
          <w:tcPr>
            <w:tcW w:type="dxa" w:w="313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torch 2.6.0</w:t>
            </w:r>
          </w:p>
        </w:tc>
      </w:tr>
      <w:tr>
        <w:tc>
          <w:tcPr>
            <w:tcW w:type="dxa" w:w="31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Scanner result</w:t>
            </w:r>
          </w:p>
        </w:tc>
        <w:tc>
          <w:tcPr>
            <w:tcW w:type="dxa" w:w="313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B03030"/>
                <w:sz w:val="18"/>
                <w:szCs w:val="18"/>
              </w:rPr>
              <w:t xml:space="preserve">3 findings open</w:t>
            </w:r>
          </w:p>
        </w:tc>
        <w:tc>
          <w:tcPr>
            <w:tcW w:type="dxa" w:w="313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1E7145"/>
                <w:sz w:val="18"/>
                <w:szCs w:val="18"/>
              </w:rPr>
              <w:t xml:space="preserve">Clear</w:t>
            </w:r>
          </w:p>
        </w:tc>
      </w:tr>
      <w:tr>
        <w:tc>
          <w:tcPr>
            <w:tcW w:type="dxa" w:w="31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transformers can move</w:t>
            </w:r>
          </w:p>
        </w:tc>
        <w:tc>
          <w:tcPr>
            <w:tcW w:type="dxa" w:w="313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B03030"/>
                <w:sz w:val="18"/>
                <w:szCs w:val="18"/>
              </w:rPr>
              <w:t xml:space="preserve">No, 4.49.0 is the ceiling</w:t>
            </w:r>
          </w:p>
        </w:tc>
        <w:tc>
          <w:tcPr>
            <w:tcW w:type="dxa" w:w="313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1E7145"/>
                <w:sz w:val="18"/>
                <w:szCs w:val="18"/>
              </w:rPr>
              <w:t xml:space="preserve">Yes, unblocks 5 more</w:t>
            </w:r>
          </w:p>
        </w:tc>
      </w:tr>
      <w:tr>
        <w:tc>
          <w:tcPr>
            <w:tcW w:type="dxa" w:w="31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Loads the checkpoint</w:t>
            </w:r>
          </w:p>
        </w:tc>
        <w:tc>
          <w:tcPr>
            <w:tcW w:type="dxa" w:w="313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1E7145"/>
                <w:sz w:val="18"/>
                <w:szCs w:val="18"/>
              </w:rPr>
              <w:t xml:space="preserve">Yes</w:t>
            </w:r>
          </w:p>
        </w:tc>
        <w:tc>
          <w:tcPr>
            <w:tcW w:type="dxa" w:w="313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B03030"/>
                <w:sz w:val="18"/>
                <w:szCs w:val="18"/>
              </w:rPr>
              <w:t xml:space="preserve">No, UnpicklingError</w:t>
            </w:r>
          </w:p>
        </w:tc>
      </w:tr>
    </w:tbl>
    <w:p>
      <w:pPr>
        <w:spacing w:after="130" w:before="0"/>
      </w:pPr>
      <w:r>
        <w:rPr>
          <w:rFonts w:ascii="Calibri" w:cs="Calibri" w:eastAsia="Calibri" w:hAnsi="Calibri"/>
          <w:b w:val="false"/>
          <w:bCs w:val="false"/>
          <w:i w:val="false"/>
          <w:iCs w:val="false"/>
          <w:color w:val="000000"/>
          <w:sz w:val="20"/>
          <w:szCs w:val="20"/>
        </w:rPr>
        <w:t xml:space="preserve"/>
      </w:r>
    </w:p>
    <w:p>
      <w:pPr>
        <w:spacing w:after="180" w:before="0"/>
      </w:pPr>
      <w:r>
        <w:rPr>
          <w:rFonts w:ascii="Calibri" w:cs="Calibri" w:eastAsia="Calibri" w:hAnsi="Calibri"/>
          <w:b w:val="false"/>
          <w:bCs w:val="false"/>
          <w:i w:val="false"/>
          <w:iCs w:val="false"/>
          <w:color w:val="000000"/>
          <w:sz w:val="20"/>
          <w:szCs w:val="20"/>
        </w:rPr>
        <w:t xml:space="preserve">Verified working once the loader is patched: torch 2.6.0, torchvision 0.21.0, transformers 5.17.0, sentence-transformers 6.0.1. The fix is one line in the fairseqForkSepFix fork, which is not tracked in this repository. Prefer add_safe_globals over weights_only=False - the latter turns the scanner green while leaving the exact path the CVE describes wide open.</w:t>
      </w:r>
    </w:p>
    <w:p>
      <w:pPr>
        <w:spacing w:after="110" w:before="230"/>
      </w:pPr>
      <w:r>
        <w:rPr>
          <w:rFonts w:ascii="Calibri" w:cs="Calibri" w:eastAsia="Calibri" w:hAnsi="Calibri"/>
          <w:b/>
          <w:bCs/>
          <w:i w:val="false"/>
          <w:iCs w:val="false"/>
          <w:color w:val="1F3864"/>
          <w:sz w:val="24"/>
          <w:szCs w:val="24"/>
        </w:rPr>
        <w:t xml:space="preserve">4. The other 42 cannot be fixed at all</w:t>
      </w:r>
    </w:p>
    <w:p>
      <w:pPr>
        <w:spacing w:after="120" w:before="0"/>
      </w:pPr>
      <w:r>
        <w:rPr>
          <w:rFonts w:ascii="Calibri" w:cs="Calibri" w:eastAsia="Calibri" w:hAnsi="Calibri"/>
          <w:b w:val="false"/>
          <w:bCs w:val="false"/>
          <w:i w:val="false"/>
          <w:iCs w:val="false"/>
          <w:color w:val="000000"/>
          <w:sz w:val="20"/>
          <w:szCs w:val="20"/>
        </w:rPr>
        <w:t xml:space="preserve">These are marked Resolvable: No, meaning Ubuntu has never published a fixed package for 22.04. apt-get upgrade, which the build already runs, has nothing to install.</w:t>
      </w:r>
    </w:p>
    <w:tbl>
      <w:tblPr>
        <w:tblW w:type="dxa" w:w="9360"/>
        <w:tblBorders>
          <w:top w:val="single" w:color="B8C4D9" w:sz="4"/>
          <w:left w:val="single" w:color="B8C4D9" w:sz="4"/>
          <w:bottom w:val="single" w:color="B8C4D9" w:sz="4"/>
          <w:right w:val="single" w:color="B8C4D9" w:sz="4"/>
          <w:insideH w:val="single" w:color="D6DEEB" w:sz="2"/>
          <w:insideV w:val="single" w:color="D6DEEB" w:sz="2"/>
        </w:tblBorders>
      </w:tblPr>
      <w:tblGrid>
        <w:gridCol w:w="2500"/>
        <w:gridCol w:w="1500"/>
        <w:gridCol w:w="5360"/>
      </w:tblGrid>
      <w:tr>
        <w:trPr>
          <w:tblHeader/>
        </w:trPr>
        <w:tc>
          <w:tcPr>
            <w:tcW w:type="dxa" w:w="2500"/>
            <w:shd w:fill="1F3864" w:color="auto" w:val="clear"/>
            <w:tcMar>
              <w:top w:type="dxa" w:w="55"/>
              <w:left w:type="dxa" w:w="105"/>
              <w:bottom w:type="dxa" w:w="55"/>
              <w:right w:type="dxa" w:w="105"/>
            </w:tcMar>
          </w:tcPr>
          <w:p>
            <w:pPr>
              <w:spacing w:after="0" w:before="0"/>
            </w:pPr>
            <w:r>
              <w:rPr>
                <w:rFonts w:ascii="Calibri" w:cs="Calibri" w:eastAsia="Calibri" w:hAnsi="Calibri"/>
                <w:b/>
                <w:bCs/>
                <w:i w:val="false"/>
                <w:iCs w:val="false"/>
                <w:color w:val="FFFFFF"/>
                <w:sz w:val="18"/>
                <w:szCs w:val="18"/>
              </w:rPr>
              <w:t xml:space="preserve">Package</w:t>
            </w:r>
          </w:p>
        </w:tc>
        <w:tc>
          <w:tcPr>
            <w:tcW w:type="dxa" w:w="150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Findings</w:t>
            </w:r>
          </w:p>
        </w:tc>
        <w:tc>
          <w:tcPr>
            <w:tcW w:type="dxa" w:w="536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Used by this service?</w:t>
            </w:r>
          </w:p>
        </w:tc>
      </w:tr>
      <w:tr>
        <w:tc>
          <w:tcPr>
            <w:tcW w:type="dxa" w:w="25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perl</w:t>
            </w:r>
          </w:p>
        </w:tc>
        <w:tc>
          <w:tcPr>
            <w:tcW w:type="dxa" w:w="150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8</w:t>
            </w:r>
          </w:p>
        </w:tc>
        <w:tc>
          <w:tcPr>
            <w:tcW w:type="dxa" w:w="536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No - comes with Ubuntu; apt itself depends on it</w:t>
            </w:r>
          </w:p>
        </w:tc>
      </w:tr>
      <w:tr>
        <w:tc>
          <w:tcPr>
            <w:tcW w:type="dxa" w:w="25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libexpat</w:t>
            </w:r>
          </w:p>
        </w:tc>
        <w:tc>
          <w:tcPr>
            <w:tcW w:type="dxa" w:w="150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6</w:t>
            </w:r>
          </w:p>
        </w:tc>
        <w:tc>
          <w:tcPr>
            <w:tcW w:type="dxa" w:w="536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Only indirectly, as a Python dependency</w:t>
            </w:r>
          </w:p>
        </w:tc>
      </w:tr>
      <w:tr>
        <w:tc>
          <w:tcPr>
            <w:tcW w:type="dxa" w:w="25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python3.10</w:t>
            </w:r>
          </w:p>
        </w:tc>
        <w:tc>
          <w:tcPr>
            <w:tcW w:type="dxa" w:w="150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5</w:t>
            </w:r>
          </w:p>
        </w:tc>
        <w:tc>
          <w:tcPr>
            <w:tcW w:type="dxa" w:w="536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Yes</w:t>
            </w:r>
          </w:p>
        </w:tc>
      </w:tr>
      <w:tr>
        <w:tc>
          <w:tcPr>
            <w:tcW w:type="dxa" w:w="25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libpcre2</w:t>
            </w:r>
          </w:p>
        </w:tc>
        <w:tc>
          <w:tcPr>
            <w:tcW w:type="dxa" w:w="150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4</w:t>
            </w:r>
          </w:p>
        </w:tc>
        <w:tc>
          <w:tcPr>
            <w:tcW w:type="dxa" w:w="536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No - already inside the base image</w:t>
            </w:r>
          </w:p>
        </w:tc>
      </w:tr>
      <w:tr>
        <w:tc>
          <w:tcPr>
            <w:tcW w:type="dxa" w:w="25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util-linux</w:t>
            </w:r>
          </w:p>
        </w:tc>
        <w:tc>
          <w:tcPr>
            <w:tcW w:type="dxa" w:w="150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4</w:t>
            </w:r>
          </w:p>
        </w:tc>
        <w:tc>
          <w:tcPr>
            <w:tcW w:type="dxa" w:w="536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No - already inside the base image</w:t>
            </w:r>
          </w:p>
        </w:tc>
      </w:tr>
      <w:tr>
        <w:tc>
          <w:tcPr>
            <w:tcW w:type="dxa" w:w="25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everything else</w:t>
            </w:r>
          </w:p>
        </w:tc>
        <w:tc>
          <w:tcPr>
            <w:tcW w:type="dxa" w:w="150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15</w:t>
            </w:r>
          </w:p>
        </w:tc>
        <w:tc>
          <w:tcPr>
            <w:tcW w:type="dxa" w:w="536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Mostly not</w:t>
            </w:r>
          </w:p>
        </w:tc>
      </w:tr>
    </w:tbl>
    <w:p>
      <w:pPr>
        <w:spacing w:after="140" w:before="0"/>
      </w:pPr>
      <w:r>
        <w:rPr>
          <w:rFonts w:ascii="Calibri" w:cs="Calibri" w:eastAsia="Calibri" w:hAnsi="Calibri"/>
          <w:b w:val="false"/>
          <w:bCs w:val="false"/>
          <w:i w:val="false"/>
          <w:iCs w:val="false"/>
          <w:color w:val="000000"/>
          <w:sz w:val="20"/>
          <w:szCs w:val="20"/>
        </w:rPr>
        <w:t xml:space="preserve"/>
      </w:r>
    </w:p>
    <w:p>
      <w:pPr>
        <w:spacing w:after="0" w:before="0"/>
      </w:pPr>
      <w:r>
        <w:rPr>
          <w:rFonts w:ascii="Calibri" w:cs="Calibri" w:eastAsia="Calibri" w:hAnsi="Calibri"/>
          <w:b w:val="false"/>
          <w:bCs w:val="false"/>
          <w:i w:val="false"/>
          <w:iCs w:val="false"/>
          <w:color w:val="000000"/>
          <w:sz w:val="20"/>
          <w:szCs w:val="20"/>
        </w:rPr>
        <w:t xml:space="preserve">Of the 42, </w:t>
      </w:r>
      <w:r>
        <w:rPr>
          <w:rFonts w:ascii="Calibri" w:cs="Calibri" w:eastAsia="Calibri" w:hAnsi="Calibri"/>
          <w:b/>
          <w:bCs/>
          <w:i w:val="false"/>
          <w:iCs w:val="false"/>
          <w:color w:val="000000"/>
          <w:sz w:val="20"/>
          <w:szCs w:val="20"/>
        </w:rPr>
        <w:t xml:space="preserve">19 were already inside ubuntu:22.04</w:t>
      </w:r>
      <w:r>
        <w:rPr>
          <w:rFonts w:ascii="Calibri" w:cs="Calibri" w:eastAsia="Calibri" w:hAnsi="Calibri"/>
          <w:b w:val="false"/>
          <w:bCs w:val="false"/>
          <w:i w:val="false"/>
          <w:iCs w:val="false"/>
          <w:color w:val="000000"/>
          <w:sz w:val="20"/>
          <w:szCs w:val="20"/>
        </w:rPr>
        <w:t xml:space="preserve"> before the Dockerfile ran a single line. The remaining 23 arrived as dependencies of apt-get install python3. They cannot be removed individually: perl-base is marked Essential, and libexpat1 is a hard dependency of Python.</w:t>
      </w:r>
    </w:p>
    <w:p>
      <w:r>
        <w:br w:type="page"/>
      </w:r>
    </w:p>
    <w:p>
      <w:pPr>
        <w:spacing w:after="110" w:before="0"/>
      </w:pPr>
      <w:r>
        <w:rPr>
          <w:rFonts w:ascii="Calibri" w:cs="Calibri" w:eastAsia="Calibri" w:hAnsi="Calibri"/>
          <w:b/>
          <w:bCs/>
          <w:i w:val="false"/>
          <w:iCs w:val="false"/>
          <w:color w:val="1F3864"/>
          <w:sz w:val="24"/>
          <w:szCs w:val="24"/>
        </w:rPr>
        <w:t xml:space="preserve">5. Why upgrading the OS does not fix this</w:t>
      </w:r>
    </w:p>
    <w:p>
      <w:pPr>
        <w:spacing w:after="150" w:before="0"/>
      </w:pPr>
      <w:r>
        <w:rPr>
          <w:rFonts w:ascii="Calibri" w:cs="Calibri" w:eastAsia="Calibri" w:hAnsi="Calibri"/>
          <w:b w:val="false"/>
          <w:bCs w:val="false"/>
          <w:i w:val="false"/>
          <w:iCs w:val="false"/>
          <w:color w:val="000000"/>
          <w:sz w:val="20"/>
          <w:szCs w:val="20"/>
        </w:rPr>
        <w:t xml:space="preserve">Moving from Ubuntu 22.04 to 24.04 looks like the obvious answer. It is not. It fixes none of the nine findings that matter, leaves most of the 42 in place, and introduces real risk.</w:t>
      </w:r>
    </w:p>
    <w:p>
      <w:pPr>
        <w:spacing w:after="100" w:before="0"/>
      </w:pPr>
      <w:r>
        <w:rPr>
          <w:rFonts w:ascii="Calibri" w:cs="Calibri" w:eastAsia="Calibri" w:hAnsi="Calibri"/>
          <w:b/>
          <w:bCs/>
          <w:i w:val="false"/>
          <w:iCs w:val="false"/>
          <w:color w:val="1F3864"/>
          <w:sz w:val="21"/>
          <w:szCs w:val="21"/>
        </w:rPr>
        <w:t xml:space="preserve">5.1  The newer packages are still inside the affected range</w:t>
      </w:r>
    </w:p>
    <w:p>
      <w:pPr>
        <w:spacing w:after="110" w:before="0"/>
      </w:pPr>
      <w:r>
        <w:rPr>
          <w:rFonts w:ascii="Calibri" w:cs="Calibri" w:eastAsia="Calibri" w:hAnsi="Calibri"/>
          <w:b w:val="false"/>
          <w:bCs w:val="false"/>
          <w:i w:val="false"/>
          <w:iCs w:val="false"/>
          <w:color w:val="000000"/>
          <w:sz w:val="20"/>
          <w:szCs w:val="20"/>
        </w:rPr>
        <w:t xml:space="preserve">These advisories describe ranges, not single versions. Actual versions in each release:</w:t>
      </w:r>
    </w:p>
    <w:tbl>
      <w:tblPr>
        <w:tblW w:type="dxa" w:w="9360"/>
        <w:tblBorders>
          <w:top w:val="single" w:color="B8C4D9" w:sz="4"/>
          <w:left w:val="single" w:color="B8C4D9" w:sz="4"/>
          <w:bottom w:val="single" w:color="B8C4D9" w:sz="4"/>
          <w:right w:val="single" w:color="B8C4D9" w:sz="4"/>
          <w:insideH w:val="single" w:color="D6DEEB" w:sz="2"/>
          <w:insideV w:val="single" w:color="D6DEEB" w:sz="2"/>
        </w:tblBorders>
      </w:tblPr>
      <w:tblGrid>
        <w:gridCol w:w="1850"/>
        <w:gridCol w:w="1500"/>
        <w:gridCol w:w="1500"/>
        <w:gridCol w:w="2400"/>
        <w:gridCol w:w="2110"/>
      </w:tblGrid>
      <w:tr>
        <w:trPr>
          <w:tblHeader/>
        </w:trPr>
        <w:tc>
          <w:tcPr>
            <w:tcW w:type="dxa" w:w="1850"/>
            <w:shd w:fill="1F3864" w:color="auto" w:val="clear"/>
            <w:tcMar>
              <w:top w:type="dxa" w:w="55"/>
              <w:left w:type="dxa" w:w="105"/>
              <w:bottom w:type="dxa" w:w="55"/>
              <w:right w:type="dxa" w:w="105"/>
            </w:tcMar>
          </w:tcPr>
          <w:p>
            <w:pPr>
              <w:spacing w:after="0" w:before="0"/>
            </w:pPr>
            <w:r>
              <w:rPr>
                <w:rFonts w:ascii="Calibri" w:cs="Calibri" w:eastAsia="Calibri" w:hAnsi="Calibri"/>
                <w:b/>
                <w:bCs/>
                <w:i w:val="false"/>
                <w:iCs w:val="false"/>
                <w:color w:val="FFFFFF"/>
                <w:sz w:val="18"/>
                <w:szCs w:val="18"/>
              </w:rPr>
              <w:t xml:space="preserve">Package</w:t>
            </w:r>
          </w:p>
        </w:tc>
        <w:tc>
          <w:tcPr>
            <w:tcW w:type="dxa" w:w="150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22.04</w:t>
            </w:r>
          </w:p>
        </w:tc>
        <w:tc>
          <w:tcPr>
            <w:tcW w:type="dxa" w:w="150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24.04</w:t>
            </w:r>
          </w:p>
        </w:tc>
        <w:tc>
          <w:tcPr>
            <w:tcW w:type="dxa" w:w="240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Advisory covers</w:t>
            </w:r>
          </w:p>
        </w:tc>
        <w:tc>
          <w:tcPr>
            <w:tcW w:type="dxa" w:w="211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On 24.04</w:t>
            </w:r>
          </w:p>
        </w:tc>
      </w:tr>
      <w:tr>
        <w:tc>
          <w:tcPr>
            <w:tcW w:type="dxa" w:w="185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glibc</w:t>
            </w:r>
          </w:p>
        </w:tc>
        <w:tc>
          <w:tcPr>
            <w:tcW w:type="dxa" w:w="150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2.35</w:t>
            </w:r>
          </w:p>
        </w:tc>
        <w:tc>
          <w:tcPr>
            <w:tcW w:type="dxa" w:w="150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2.39</w:t>
            </w:r>
          </w:p>
        </w:tc>
        <w:tc>
          <w:tcPr>
            <w:tcW w:type="dxa" w:w="240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2.38 to 2.44</w:t>
            </w:r>
          </w:p>
        </w:tc>
        <w:tc>
          <w:tcPr>
            <w:tcW w:type="dxa" w:w="2110"/>
            <w:tcMar>
              <w:top w:type="dxa" w:w="55"/>
              <w:left w:type="dxa" w:w="105"/>
              <w:bottom w:type="dxa" w:w="55"/>
              <w:right w:type="dxa" w:w="105"/>
            </w:tcMar>
          </w:tcPr>
          <w:p>
            <w:pPr>
              <w:spacing w:after="0" w:before="0"/>
              <w:jc w:val="center"/>
            </w:pPr>
            <w:r>
              <w:rPr>
                <w:rFonts w:ascii="Calibri" w:cs="Calibri" w:eastAsia="Calibri" w:hAnsi="Calibri"/>
                <w:b/>
                <w:bCs/>
                <w:i w:val="false"/>
                <w:iCs w:val="false"/>
                <w:color w:val="B03030"/>
                <w:sz w:val="18"/>
                <w:szCs w:val="18"/>
              </w:rPr>
              <w:t xml:space="preserve">Becomes real</w:t>
            </w:r>
          </w:p>
        </w:tc>
      </w:tr>
      <w:tr>
        <w:tc>
          <w:tcPr>
            <w:tcW w:type="dxa" w:w="185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pcre2</w:t>
            </w:r>
          </w:p>
        </w:tc>
        <w:tc>
          <w:tcPr>
            <w:tcW w:type="dxa" w:w="150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10.39</w:t>
            </w:r>
          </w:p>
        </w:tc>
        <w:tc>
          <w:tcPr>
            <w:tcW w:type="dxa" w:w="150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10.42</w:t>
            </w:r>
          </w:p>
        </w:tc>
        <w:tc>
          <w:tcPr>
            <w:tcW w:type="dxa" w:w="240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before 10.48</w:t>
            </w:r>
          </w:p>
        </w:tc>
        <w:tc>
          <w:tcPr>
            <w:tcW w:type="dxa" w:w="211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B03030"/>
                <w:sz w:val="18"/>
                <w:szCs w:val="18"/>
              </w:rPr>
              <w:t xml:space="preserve">Still flagged</w:t>
            </w:r>
          </w:p>
        </w:tc>
      </w:tr>
      <w:tr>
        <w:tc>
          <w:tcPr>
            <w:tcW w:type="dxa" w:w="185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expat</w:t>
            </w:r>
          </w:p>
        </w:tc>
        <w:tc>
          <w:tcPr>
            <w:tcW w:type="dxa" w:w="150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2.4.7</w:t>
            </w:r>
          </w:p>
        </w:tc>
        <w:tc>
          <w:tcPr>
            <w:tcW w:type="dxa" w:w="150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2.6.1</w:t>
            </w:r>
          </w:p>
        </w:tc>
        <w:tc>
          <w:tcPr>
            <w:tcW w:type="dxa" w:w="240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through 2.8.3</w:t>
            </w:r>
          </w:p>
        </w:tc>
        <w:tc>
          <w:tcPr>
            <w:tcW w:type="dxa" w:w="211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B03030"/>
                <w:sz w:val="18"/>
                <w:szCs w:val="18"/>
              </w:rPr>
              <w:t xml:space="preserve">Still flagged</w:t>
            </w:r>
          </w:p>
        </w:tc>
      </w:tr>
      <w:tr>
        <w:tc>
          <w:tcPr>
            <w:tcW w:type="dxa" w:w="185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util-linux</w:t>
            </w:r>
          </w:p>
        </w:tc>
        <w:tc>
          <w:tcPr>
            <w:tcW w:type="dxa" w:w="150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2.37.2</w:t>
            </w:r>
          </w:p>
        </w:tc>
        <w:tc>
          <w:tcPr>
            <w:tcW w:type="dxa" w:w="150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2.39.3</w:t>
            </w:r>
          </w:p>
        </w:tc>
        <w:tc>
          <w:tcPr>
            <w:tcW w:type="dxa" w:w="240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through 2.41.5</w:t>
            </w:r>
          </w:p>
        </w:tc>
        <w:tc>
          <w:tcPr>
            <w:tcW w:type="dxa" w:w="211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B03030"/>
                <w:sz w:val="18"/>
                <w:szCs w:val="18"/>
              </w:rPr>
              <w:t xml:space="preserve">Still flagged</w:t>
            </w:r>
          </w:p>
        </w:tc>
      </w:tr>
      <w:tr>
        <w:tc>
          <w:tcPr>
            <w:tcW w:type="dxa" w:w="185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acl</w:t>
            </w:r>
          </w:p>
        </w:tc>
        <w:tc>
          <w:tcPr>
            <w:tcW w:type="dxa" w:w="150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2.3.1</w:t>
            </w:r>
          </w:p>
        </w:tc>
        <w:tc>
          <w:tcPr>
            <w:tcW w:type="dxa" w:w="150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2.3.2</w:t>
            </w:r>
          </w:p>
        </w:tc>
        <w:tc>
          <w:tcPr>
            <w:tcW w:type="dxa" w:w="240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before 2.4.0</w:t>
            </w:r>
          </w:p>
        </w:tc>
        <w:tc>
          <w:tcPr>
            <w:tcW w:type="dxa" w:w="211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B03030"/>
                <w:sz w:val="18"/>
                <w:szCs w:val="18"/>
              </w:rPr>
              <w:t xml:space="preserve">Still flagged</w:t>
            </w:r>
          </w:p>
        </w:tc>
      </w:tr>
    </w:tbl>
    <w:p>
      <w:pPr>
        <w:spacing w:after="140" w:before="0"/>
      </w:pPr>
      <w:r>
        <w:rPr>
          <w:rFonts w:ascii="Calibri" w:cs="Calibri" w:eastAsia="Calibri" w:hAnsi="Calibri"/>
          <w:b w:val="false"/>
          <w:bCs w:val="false"/>
          <w:i w:val="false"/>
          <w:iCs w:val="false"/>
          <w:color w:val="000000"/>
          <w:sz w:val="20"/>
          <w:szCs w:val="20"/>
        </w:rPr>
        <w:t xml:space="preserve"/>
      </w:r>
    </w:p>
    <w:p>
      <w:pPr>
        <w:spacing w:after="180" w:before="0"/>
      </w:pPr>
      <w:r>
        <w:rPr>
          <w:rFonts w:ascii="Calibri" w:cs="Calibri" w:eastAsia="Calibri" w:hAnsi="Calibri"/>
          <w:b/>
          <w:bCs/>
          <w:i w:val="false"/>
          <w:iCs w:val="false"/>
          <w:color w:val="000000"/>
          <w:sz w:val="20"/>
          <w:szCs w:val="20"/>
        </w:rPr>
        <w:t xml:space="preserve">The glibc row is the one to notice. </w:t>
      </w:r>
      <w:r>
        <w:rPr>
          <w:rFonts w:ascii="Calibri" w:cs="Calibri" w:eastAsia="Calibri" w:hAnsi="Calibri"/>
          <w:b w:val="false"/>
          <w:bCs w:val="false"/>
          <w:i w:val="false"/>
          <w:iCs w:val="false"/>
          <w:color w:val="000000"/>
          <w:sz w:val="20"/>
          <w:szCs w:val="20"/>
        </w:rPr>
        <w:t xml:space="preserve">CVE-2026-19499 affects glibc 2.38 to 2.44. Ubuntu 22.04 ships 2.35, which is </w:t>
      </w:r>
      <w:r>
        <w:rPr>
          <w:rFonts w:ascii="Calibri" w:cs="Calibri" w:eastAsia="Calibri" w:hAnsi="Calibri"/>
          <w:b w:val="false"/>
          <w:bCs w:val="false"/>
          <w:i/>
          <w:iCs/>
          <w:color w:val="000000"/>
          <w:sz w:val="20"/>
          <w:szCs w:val="20"/>
        </w:rPr>
        <w:t xml:space="preserve">below</w:t>
      </w:r>
      <w:r>
        <w:rPr>
          <w:rFonts w:ascii="Calibri" w:cs="Calibri" w:eastAsia="Calibri" w:hAnsi="Calibri"/>
          <w:b w:val="false"/>
          <w:bCs w:val="false"/>
          <w:i w:val="false"/>
          <w:iCs w:val="false"/>
          <w:color w:val="000000"/>
          <w:sz w:val="20"/>
          <w:szCs w:val="20"/>
        </w:rPr>
        <w:t xml:space="preserve"> the affected range - so today that finding is a false positive. Ubuntu 24.04 ships 2.39, which is </w:t>
      </w:r>
      <w:r>
        <w:rPr>
          <w:rFonts w:ascii="Calibri" w:cs="Calibri" w:eastAsia="Calibri" w:hAnsi="Calibri"/>
          <w:b w:val="false"/>
          <w:bCs w:val="false"/>
          <w:i/>
          <w:iCs/>
          <w:color w:val="000000"/>
          <w:sz w:val="20"/>
          <w:szCs w:val="20"/>
        </w:rPr>
        <w:t xml:space="preserve">inside</w:t>
      </w:r>
      <w:r>
        <w:rPr>
          <w:rFonts w:ascii="Calibri" w:cs="Calibri" w:eastAsia="Calibri" w:hAnsi="Calibri"/>
          <w:b w:val="false"/>
          <w:bCs w:val="false"/>
          <w:i w:val="false"/>
          <w:iCs w:val="false"/>
          <w:color w:val="000000"/>
          <w:sz w:val="20"/>
          <w:szCs w:val="20"/>
        </w:rPr>
        <w:t xml:space="preserve"> it. Upgrading the OS would turn a harmless mismatch into a genuine vulnerability.</w:t>
      </w:r>
    </w:p>
    <w:p>
      <w:pPr>
        <w:spacing w:after="100" w:before="0"/>
      </w:pPr>
      <w:r>
        <w:rPr>
          <w:rFonts w:ascii="Calibri" w:cs="Calibri" w:eastAsia="Calibri" w:hAnsi="Calibri"/>
          <w:b/>
          <w:bCs/>
          <w:i w:val="false"/>
          <w:iCs w:val="false"/>
          <w:color w:val="1F3864"/>
          <w:sz w:val="21"/>
          <w:szCs w:val="21"/>
        </w:rPr>
        <w:t xml:space="preserve">5.2  It would break the build immediately</w:t>
      </w:r>
    </w:p>
    <w:tbl>
      <w:tblPr>
        <w:tblW w:type="dxa" w:w="9360"/>
        <w:tblBorders>
          <w:top w:val="single" w:color="B8C4D9" w:sz="4"/>
          <w:left w:val="single" w:color="B8C4D9" w:sz="4"/>
          <w:bottom w:val="single" w:color="B8C4D9" w:sz="4"/>
          <w:right w:val="single" w:color="B8C4D9" w:sz="4"/>
          <w:insideH w:val="single" w:color="D6DEEB" w:sz="2"/>
          <w:insideV w:val="single" w:color="D6DEEB" w:sz="2"/>
        </w:tblBorders>
      </w:tblPr>
      <w:tblGrid>
        <w:gridCol w:w="3400"/>
        <w:gridCol w:w="2980"/>
        <w:gridCol w:w="2980"/>
      </w:tblGrid>
      <w:tr>
        <w:trPr>
          <w:tblHeader/>
        </w:trPr>
        <w:tc>
          <w:tcPr>
            <w:tcW w:type="dxa" w:w="3400"/>
            <w:shd w:fill="1F3864" w:color="auto" w:val="clear"/>
            <w:tcMar>
              <w:top w:type="dxa" w:w="55"/>
              <w:left w:type="dxa" w:w="105"/>
              <w:bottom w:type="dxa" w:w="55"/>
              <w:right w:type="dxa" w:w="105"/>
            </w:tcMar>
          </w:tcPr>
          <w:p>
            <w:pPr>
              <w:spacing w:after="0" w:before="0"/>
            </w:pPr>
            <w:r>
              <w:rPr>
                <w:rFonts w:ascii="Calibri" w:cs="Calibri" w:eastAsia="Calibri" w:hAnsi="Calibri"/>
                <w:b/>
                <w:bCs/>
                <w:i w:val="false"/>
                <w:iCs w:val="false"/>
                <w:color w:val="FFFFFF"/>
                <w:sz w:val="18"/>
                <w:szCs w:val="18"/>
              </w:rPr>
              <w:t xml:space="preserve"/>
            </w:r>
          </w:p>
        </w:tc>
        <w:tc>
          <w:tcPr>
            <w:tcW w:type="dxa" w:w="298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Ubuntu 22.04</w:t>
            </w:r>
          </w:p>
        </w:tc>
        <w:tc>
          <w:tcPr>
            <w:tcW w:type="dxa" w:w="298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Ubuntu 24.04</w:t>
            </w:r>
          </w:p>
        </w:tc>
      </w:tr>
      <w:tr>
        <w:tc>
          <w:tcPr>
            <w:tcW w:type="dxa" w:w="34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Default Python</w:t>
            </w:r>
          </w:p>
        </w:tc>
        <w:tc>
          <w:tcPr>
            <w:tcW w:type="dxa" w:w="298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3.10.6</w:t>
            </w:r>
          </w:p>
        </w:tc>
        <w:tc>
          <w:tcPr>
            <w:tcW w:type="dxa" w:w="298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3.12.3</w:t>
            </w:r>
          </w:p>
        </w:tc>
      </w:tr>
      <w:tr>
        <w:tc>
          <w:tcPr>
            <w:tcW w:type="dxa" w:w="34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torch 2.0.0 available?</w:t>
            </w:r>
          </w:p>
        </w:tc>
        <w:tc>
          <w:tcPr>
            <w:tcW w:type="dxa" w:w="2980"/>
            <w:shd w:fill="F2F5FA" w:color="auto" w:val="clear"/>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1E7145"/>
                <w:sz w:val="18"/>
                <w:szCs w:val="18"/>
              </w:rPr>
              <w:t xml:space="preserve">Yes</w:t>
            </w:r>
          </w:p>
        </w:tc>
        <w:tc>
          <w:tcPr>
            <w:tcW w:type="dxa" w:w="2980"/>
            <w:shd w:fill="F2F5FA"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B03030"/>
                <w:sz w:val="18"/>
                <w:szCs w:val="18"/>
              </w:rPr>
              <w:t xml:space="preserve">No - no 3.12 build exists</w:t>
            </w:r>
          </w:p>
        </w:tc>
      </w:tr>
    </w:tbl>
    <w:p>
      <w:pPr>
        <w:spacing w:after="130" w:before="0"/>
      </w:pPr>
      <w:r>
        <w:rPr>
          <w:rFonts w:ascii="Calibri" w:cs="Calibri" w:eastAsia="Calibri" w:hAnsi="Calibri"/>
          <w:b w:val="false"/>
          <w:bCs w:val="false"/>
          <w:i w:val="false"/>
          <w:iCs w:val="false"/>
          <w:color w:val="000000"/>
          <w:sz w:val="20"/>
          <w:szCs w:val="20"/>
        </w:rPr>
        <w:t xml:space="preserve"/>
      </w:r>
    </w:p>
    <w:p>
      <w:pPr>
        <w:spacing w:after="170" w:before="0"/>
      </w:pPr>
      <w:r>
        <w:rPr>
          <w:rFonts w:ascii="Calibri" w:cs="Calibri" w:eastAsia="Calibri" w:hAnsi="Calibri"/>
          <w:b w:val="false"/>
          <w:bCs w:val="false"/>
          <w:i w:val="false"/>
          <w:iCs w:val="false"/>
          <w:color w:val="000000"/>
          <w:sz w:val="20"/>
          <w:szCs w:val="20"/>
        </w:rPr>
        <w:t xml:space="preserve">PyTorch 2.0.0 only publishes builds for Python 3.8 to 3.11. Ubuntu 24.04 ships Python 3.12, so the install step in the Dockerfile fails outright. The OS upgrade therefore </w:t>
      </w:r>
      <w:r>
        <w:rPr>
          <w:rFonts w:ascii="Calibri" w:cs="Calibri" w:eastAsia="Calibri" w:hAnsi="Calibri"/>
          <w:b w:val="false"/>
          <w:bCs w:val="false"/>
          <w:i/>
          <w:iCs/>
          <w:color w:val="000000"/>
          <w:sz w:val="20"/>
          <w:szCs w:val="20"/>
        </w:rPr>
        <w:t xml:space="preserve">forces</w:t>
      </w:r>
      <w:r>
        <w:rPr>
          <w:rFonts w:ascii="Calibri" w:cs="Calibri" w:eastAsia="Calibri" w:hAnsi="Calibri"/>
          <w:b w:val="false"/>
          <w:bCs w:val="false"/>
          <w:i w:val="false"/>
          <w:iCs w:val="false"/>
          <w:color w:val="000000"/>
          <w:sz w:val="20"/>
          <w:szCs w:val="20"/>
        </w:rPr>
        <w:t xml:space="preserve"> the torch upgrade at the same time - combining two risky changes, including the fairseq checkpoint problem, into one. fairseq 0.12.2 also predates Python 3.12.</w:t>
      </w:r>
    </w:p>
    <w:p>
      <w:pPr>
        <w:spacing w:after="100" w:before="0"/>
      </w:pPr>
      <w:r>
        <w:rPr>
          <w:rFonts w:ascii="Calibri" w:cs="Calibri" w:eastAsia="Calibri" w:hAnsi="Calibri"/>
          <w:b/>
          <w:bCs/>
          <w:i w:val="false"/>
          <w:iCs w:val="false"/>
          <w:color w:val="1F3864"/>
          <w:sz w:val="21"/>
          <w:szCs w:val="21"/>
        </w:rPr>
        <w:t xml:space="preserve">5.3  It fixes none of the nine findings that matter</w:t>
      </w:r>
    </w:p>
    <w:p>
      <w:pPr>
        <w:spacing w:after="170" w:before="0"/>
      </w:pPr>
      <w:r>
        <w:rPr>
          <w:rFonts w:ascii="Calibri" w:cs="Calibri" w:eastAsia="Calibri" w:hAnsi="Calibri"/>
          <w:b w:val="false"/>
          <w:bCs w:val="false"/>
          <w:i w:val="false"/>
          <w:iCs w:val="false"/>
          <w:color w:val="000000"/>
          <w:sz w:val="20"/>
          <w:szCs w:val="20"/>
        </w:rPr>
        <w:t xml:space="preserve">All nine remaining fixable findings are torch and transformers - Python packages installed by pip. They are entirely unaffected by which Ubuntu release sits underneath. An OS upgrade would clear a handful of the 42 base-OS findings at best, while adding the glibc exposure and breaking the build.</w:t>
      </w:r>
    </w:p>
    <w:p>
      <w:pPr>
        <w:spacing w:after="70" w:before="0"/>
      </w:pPr>
      <w:r>
        <w:rPr>
          <w:rFonts w:ascii="Calibri" w:cs="Calibri" w:eastAsia="Calibri" w:hAnsi="Calibri"/>
          <w:b/>
          <w:bCs/>
          <w:i w:val="false"/>
          <w:iCs w:val="false"/>
          <w:color w:val="000000"/>
          <w:sz w:val="20"/>
          <w:szCs w:val="20"/>
        </w:rPr>
        <w:t xml:space="preserve">A slimmer base image is a different proposition</w:t>
      </w:r>
    </w:p>
    <w:p>
      <w:pPr>
        <w:spacing w:after="190" w:before="0"/>
      </w:pPr>
      <w:r>
        <w:rPr>
          <w:rFonts w:ascii="Calibri" w:cs="Calibri" w:eastAsia="Calibri" w:hAnsi="Calibri"/>
          <w:b w:val="false"/>
          <w:bCs w:val="false"/>
          <w:i w:val="false"/>
          <w:iCs w:val="false"/>
          <w:color w:val="000000"/>
          <w:sz w:val="20"/>
          <w:szCs w:val="20"/>
        </w:rPr>
        <w:t xml:space="preserve">Not a newer Ubuntu, but an image that never contained perl, pcre2 or util-linux in the first place. A finding can only be raised against an installed package. That is the only route that genuinely reduces the 42 - but it also means no shell, so CI would need rebuilding, and every summary would need re-checking. Worth pricing Ubuntu Pro first: the +esm1 suffix visible in the scan output is Canonical's paid support, and it fixes some of these with no image change at all.</w:t>
      </w:r>
    </w:p>
    <w:p>
      <w:pPr>
        <w:spacing w:after="110" w:before="230"/>
      </w:pPr>
      <w:r>
        <w:rPr>
          <w:rFonts w:ascii="Calibri" w:cs="Calibri" w:eastAsia="Calibri" w:hAnsi="Calibri"/>
          <w:b/>
          <w:bCs/>
          <w:i w:val="false"/>
          <w:iCs w:val="false"/>
          <w:color w:val="1F3864"/>
          <w:sz w:val="24"/>
          <w:szCs w:val="24"/>
        </w:rPr>
        <w:t xml:space="preserve">6. Where the numbers land</w:t>
      </w:r>
    </w:p>
    <w:tbl>
      <w:tblPr>
        <w:tblW w:type="dxa" w:w="9360"/>
        <w:tblBorders>
          <w:top w:val="single" w:color="B8C4D9" w:sz="4"/>
          <w:left w:val="single" w:color="B8C4D9" w:sz="4"/>
          <w:bottom w:val="single" w:color="B8C4D9" w:sz="4"/>
          <w:right w:val="single" w:color="B8C4D9" w:sz="4"/>
          <w:insideH w:val="single" w:color="D6DEEB" w:sz="2"/>
          <w:insideV w:val="single" w:color="D6DEEB" w:sz="2"/>
        </w:tblBorders>
      </w:tblPr>
      <w:tblGrid>
        <w:gridCol w:w="3700"/>
        <w:gridCol w:w="2830"/>
        <w:gridCol w:w="2830"/>
      </w:tblGrid>
      <w:tr>
        <w:trPr>
          <w:tblHeader/>
        </w:trPr>
        <w:tc>
          <w:tcPr>
            <w:tcW w:type="dxa" w:w="3700"/>
            <w:shd w:fill="1F3864" w:color="auto" w:val="clear"/>
            <w:tcMar>
              <w:top w:type="dxa" w:w="55"/>
              <w:left w:type="dxa" w:w="105"/>
              <w:bottom w:type="dxa" w:w="55"/>
              <w:right w:type="dxa" w:w="105"/>
            </w:tcMar>
          </w:tcPr>
          <w:p>
            <w:pPr>
              <w:spacing w:after="0" w:before="0"/>
            </w:pPr>
            <w:r>
              <w:rPr>
                <w:rFonts w:ascii="Calibri" w:cs="Calibri" w:eastAsia="Calibri" w:hAnsi="Calibri"/>
                <w:b/>
                <w:bCs/>
                <w:i w:val="false"/>
                <w:iCs w:val="false"/>
                <w:color w:val="FFFFFF"/>
                <w:sz w:val="18"/>
                <w:szCs w:val="18"/>
              </w:rPr>
              <w:t xml:space="preserve">Stage</w:t>
            </w:r>
          </w:p>
        </w:tc>
        <w:tc>
          <w:tcPr>
            <w:tcW w:type="dxa" w:w="283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Critical</w:t>
            </w:r>
          </w:p>
        </w:tc>
        <w:tc>
          <w:tcPr>
            <w:tcW w:type="dxa" w:w="2830"/>
            <w:shd w:fill="1F3864"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FFFFFF"/>
                <w:sz w:val="18"/>
                <w:szCs w:val="18"/>
              </w:rPr>
              <w:t xml:space="preserve">High</w:t>
            </w:r>
          </w:p>
        </w:tc>
      </w:tr>
      <w:tr>
        <w:tc>
          <w:tcPr>
            <w:tcW w:type="dxa" w:w="37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Original scan</w:t>
            </w:r>
          </w:p>
        </w:tc>
        <w:tc>
          <w:tcPr>
            <w:tcW w:type="dxa" w:w="283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3</w:t>
            </w:r>
          </w:p>
        </w:tc>
        <w:tc>
          <w:tcPr>
            <w:tcW w:type="dxa" w:w="283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57</w:t>
            </w:r>
          </w:p>
        </w:tc>
      </w:tr>
      <w:tr>
        <w:tc>
          <w:tcPr>
            <w:tcW w:type="dxa" w:w="3700"/>
            <w:shd w:fill="F2F5FA" w:color="auto" w:val="clear"/>
            <w:tcMar>
              <w:top w:type="dxa" w:w="55"/>
              <w:left w:type="dxa" w:w="105"/>
              <w:bottom w:type="dxa" w:w="55"/>
              <w:right w:type="dxa" w:w="105"/>
            </w:tcMar>
          </w:tcPr>
          <w:p>
            <w:pPr>
              <w:spacing w:after="0" w:before="0"/>
            </w:pPr>
            <w:r>
              <w:rPr>
                <w:rFonts w:ascii="Calibri" w:cs="Calibri" w:eastAsia="Calibri" w:hAnsi="Calibri"/>
                <w:b/>
                <w:bCs/>
                <w:i w:val="false"/>
                <w:iCs w:val="false"/>
                <w:color w:val="000000"/>
                <w:sz w:val="18"/>
                <w:szCs w:val="18"/>
              </w:rPr>
              <w:t xml:space="preserve">Now</w:t>
            </w:r>
          </w:p>
        </w:tc>
        <w:tc>
          <w:tcPr>
            <w:tcW w:type="dxa" w:w="2830"/>
            <w:shd w:fill="F2F5FA"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000000"/>
                <w:sz w:val="18"/>
                <w:szCs w:val="18"/>
              </w:rPr>
              <w:t xml:space="preserve">2</w:t>
            </w:r>
          </w:p>
        </w:tc>
        <w:tc>
          <w:tcPr>
            <w:tcW w:type="dxa" w:w="2830"/>
            <w:shd w:fill="F2F5FA"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000000"/>
                <w:sz w:val="18"/>
                <w:szCs w:val="18"/>
              </w:rPr>
              <w:t xml:space="preserve">49</w:t>
            </w:r>
          </w:p>
        </w:tc>
      </w:tr>
      <w:tr>
        <w:tc>
          <w:tcPr>
            <w:tcW w:type="dxa" w:w="37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File the CVE-2026-5241 exception</w:t>
            </w:r>
          </w:p>
        </w:tc>
        <w:tc>
          <w:tcPr>
            <w:tcW w:type="dxa" w:w="283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1</w:t>
            </w:r>
          </w:p>
        </w:tc>
        <w:tc>
          <w:tcPr>
            <w:tcW w:type="dxa" w:w="283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000000"/>
                <w:sz w:val="18"/>
                <w:szCs w:val="18"/>
              </w:rPr>
              <w:t xml:space="preserve">49</w:t>
            </w:r>
          </w:p>
        </w:tc>
      </w:tr>
      <w:tr>
        <w:tc>
          <w:tcPr>
            <w:tcW w:type="dxa" w:w="3700"/>
            <w:shd w:fill="F2F5FA" w:color="auto" w:val="clear"/>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Complete the torch upgrade</w:t>
            </w:r>
          </w:p>
        </w:tc>
        <w:tc>
          <w:tcPr>
            <w:tcW w:type="dxa" w:w="2830"/>
            <w:shd w:fill="F2F5FA"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1E7145"/>
                <w:sz w:val="18"/>
                <w:szCs w:val="18"/>
              </w:rPr>
              <w:t xml:space="preserve">0</w:t>
            </w:r>
          </w:p>
        </w:tc>
        <w:tc>
          <w:tcPr>
            <w:tcW w:type="dxa" w:w="2830"/>
            <w:shd w:fill="F2F5FA" w:color="auto" w:val="clear"/>
            <w:tcMar>
              <w:top w:type="dxa" w:w="55"/>
              <w:left w:type="dxa" w:w="105"/>
              <w:bottom w:type="dxa" w:w="55"/>
              <w:right w:type="dxa" w:w="105"/>
            </w:tcMar>
          </w:tcPr>
          <w:p>
            <w:pPr>
              <w:spacing w:after="0" w:before="0"/>
              <w:jc w:val="center"/>
            </w:pPr>
            <w:r>
              <w:rPr>
                <w:rFonts w:ascii="Calibri" w:cs="Calibri" w:eastAsia="Calibri" w:hAnsi="Calibri"/>
                <w:b/>
                <w:bCs/>
                <w:i w:val="false"/>
                <w:iCs w:val="false"/>
                <w:color w:val="1E7145"/>
                <w:sz w:val="18"/>
                <w:szCs w:val="18"/>
              </w:rPr>
              <w:t xml:space="preserve">42</w:t>
            </w:r>
          </w:p>
        </w:tc>
      </w:tr>
      <w:tr>
        <w:tc>
          <w:tcPr>
            <w:tcW w:type="dxa" w:w="3700"/>
            <w:tcMar>
              <w:top w:type="dxa" w:w="55"/>
              <w:left w:type="dxa" w:w="105"/>
              <w:bottom w:type="dxa" w:w="55"/>
              <w:right w:type="dxa" w:w="105"/>
            </w:tcMar>
          </w:tcPr>
          <w:p>
            <w:pPr>
              <w:spacing w:after="0" w:before="0"/>
            </w:pPr>
            <w:r>
              <w:rPr>
                <w:rFonts w:ascii="Calibri" w:cs="Calibri" w:eastAsia="Calibri" w:hAnsi="Calibri"/>
                <w:b w:val="false"/>
                <w:bCs w:val="false"/>
                <w:i w:val="false"/>
                <w:iCs w:val="false"/>
                <w:color w:val="000000"/>
                <w:sz w:val="18"/>
                <w:szCs w:val="18"/>
              </w:rPr>
              <w:t xml:space="preserve">Floor - nothing left to fix</w:t>
            </w:r>
          </w:p>
        </w:tc>
        <w:tc>
          <w:tcPr>
            <w:tcW w:type="dxa" w:w="283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595959"/>
                <w:sz w:val="18"/>
                <w:szCs w:val="18"/>
              </w:rPr>
              <w:t xml:space="preserve">0</w:t>
            </w:r>
          </w:p>
        </w:tc>
        <w:tc>
          <w:tcPr>
            <w:tcW w:type="dxa" w:w="2830"/>
            <w:tcMar>
              <w:top w:type="dxa" w:w="55"/>
              <w:left w:type="dxa" w:w="105"/>
              <w:bottom w:type="dxa" w:w="55"/>
              <w:right w:type="dxa" w:w="105"/>
            </w:tcMar>
          </w:tcPr>
          <w:p>
            <w:pPr>
              <w:spacing w:after="0" w:before="0"/>
              <w:jc w:val="center"/>
            </w:pPr>
            <w:r>
              <w:rPr>
                <w:rFonts w:ascii="Calibri" w:cs="Calibri" w:eastAsia="Calibri" w:hAnsi="Calibri"/>
                <w:b w:val="false"/>
                <w:bCs w:val="false"/>
                <w:i w:val="false"/>
                <w:iCs w:val="false"/>
                <w:color w:val="595959"/>
                <w:sz w:val="18"/>
                <w:szCs w:val="18"/>
              </w:rPr>
              <w:t xml:space="preserve">42</w:t>
            </w:r>
          </w:p>
        </w:tc>
      </w:tr>
    </w:tbl>
    <w:p>
      <w:pPr>
        <w:spacing w:after="150" w:before="0"/>
      </w:pPr>
      <w:r>
        <w:rPr>
          <w:rFonts w:ascii="Calibri" w:cs="Calibri" w:eastAsia="Calibri" w:hAnsi="Calibri"/>
          <w:b w:val="false"/>
          <w:bCs w:val="false"/>
          <w:i w:val="false"/>
          <w:iCs w:val="false"/>
          <w:color w:val="000000"/>
          <w:sz w:val="20"/>
          <w:szCs w:val="20"/>
        </w:rPr>
        <w:t xml:space="preserve"/>
      </w:r>
    </w:p>
    <w:p>
      <w:pPr>
        <w:spacing w:after="80" w:before="0"/>
      </w:pPr>
      <w:r>
        <w:rPr>
          <w:rFonts w:ascii="Calibri" w:cs="Calibri" w:eastAsia="Calibri" w:hAnsi="Calibri"/>
          <w:b/>
          <w:bCs/>
          <w:i w:val="false"/>
          <w:iCs w:val="false"/>
          <w:color w:val="1F3864"/>
          <w:sz w:val="22"/>
          <w:szCs w:val="22"/>
        </w:rPr>
        <w:t xml:space="preserve">Recommended next steps</w:t>
      </w:r>
    </w:p>
    <w:p>
      <w:pPr>
        <w:spacing w:after="55" w:before="0"/>
      </w:pPr>
      <w:r>
        <w:rPr>
          <w:rFonts w:ascii="Calibri" w:cs="Calibri" w:eastAsia="Calibri" w:hAnsi="Calibri"/>
          <w:b w:val="false"/>
          <w:bCs w:val="false"/>
          <w:i w:val="false"/>
          <w:iCs w:val="false"/>
          <w:color w:val="000000"/>
          <w:sz w:val="20"/>
          <w:szCs w:val="20"/>
        </w:rPr>
        <w:t xml:space="preserve">1.  File the Tenable exception for CVE-2026-5241 - removes one Critical, no code change.</w:t>
      </w:r>
    </w:p>
    <w:p>
      <w:pPr>
        <w:spacing w:after="55" w:before="0"/>
      </w:pPr>
      <w:r>
        <w:rPr>
          <w:rFonts w:ascii="Calibri" w:cs="Calibri" w:eastAsia="Calibri" w:hAnsi="Calibri"/>
          <w:b w:val="false"/>
          <w:bCs w:val="false"/>
          <w:i w:val="false"/>
          <w:iCs w:val="false"/>
          <w:color w:val="000000"/>
          <w:sz w:val="20"/>
          <w:szCs w:val="20"/>
        </w:rPr>
        <w:t xml:space="preserve">2.  Decide the CI gate policy. 42 High findings can never pass --fail-on-min-severity high.</w:t>
      </w:r>
    </w:p>
    <w:p>
      <w:pPr>
        <w:spacing w:after="55" w:before="0"/>
      </w:pPr>
      <w:r>
        <w:rPr>
          <w:rFonts w:ascii="Calibri" w:cs="Calibri" w:eastAsia="Calibri" w:hAnsi="Calibri"/>
          <w:b w:val="false"/>
          <w:bCs w:val="false"/>
          <w:i w:val="false"/>
          <w:iCs w:val="false"/>
          <w:color w:val="000000"/>
          <w:sz w:val="20"/>
          <w:szCs w:val="20"/>
        </w:rPr>
        <w:t xml:space="preserve">3.  Take the torch upgrade as its own change, with the fairseq loader fix and a before/after comparison of generated summaries. This is the only work that moves the numbers.</w:t>
      </w:r>
    </w:p>
    <w:p>
      <w:pPr>
        <w:spacing w:after="55" w:before="0"/>
      </w:pPr>
      <w:r>
        <w:rPr>
          <w:rFonts w:ascii="Calibri" w:cs="Calibri" w:eastAsia="Calibri" w:hAnsi="Calibri"/>
          <w:b w:val="false"/>
          <w:bCs w:val="false"/>
          <w:i w:val="false"/>
          <w:iCs w:val="false"/>
          <w:color w:val="000000"/>
          <w:sz w:val="20"/>
          <w:szCs w:val="20"/>
        </w:rPr>
        <w:t xml:space="preserve">4.  Price Ubuntu Pro before considering any base image change.</w:t>
      </w:r>
    </w:p>
    <w:p>
      <w:pPr>
        <w:spacing w:after="0" w:before="0"/>
      </w:pPr>
      <w:r>
        <w:rPr>
          <w:rFonts w:ascii="Calibri" w:cs="Calibri" w:eastAsia="Calibri" w:hAnsi="Calibri"/>
          <w:b/>
          <w:bCs/>
          <w:i w:val="false"/>
          <w:iCs w:val="false"/>
          <w:color w:val="000000"/>
          <w:sz w:val="20"/>
          <w:szCs w:val="20"/>
        </w:rPr>
        <w:t xml:space="preserve">5.  Do not upgrade to Ubuntu 24.04 as a security measure - see section 5.</w:t>
      </w:r>
    </w:p>
    <w:sectPr>
      <w:pgSz w:w="12240" w:h="15840" w:orient="portrait"/>
      <w:pgMar w:top="1060" w:right="1440" w:bottom="10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2026-09-17T18:10:52.628Z</dcterms:created>
  <dcterms:modified xsi:type="dcterms:W3CDTF">2026-09-17T18:10:52.642Z</dcterms:modified>
</cp:coreProperties>
</file>

<file path=docProps/custom.xml><?xml version="1.0" encoding="utf-8"?>
<Properties xmlns="http://schemas.openxmlformats.org/officeDocument/2006/custom-properties" xmlns:vt="http://schemas.openxmlformats.org/officeDocument/2006/docPropsVTypes"/>
</file>