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F594F8" w14:textId="77777777" w:rsidR="004C5B46" w:rsidRDefault="00000000">
      <w:pPr>
        <w:spacing w:after="233"/>
        <w:jc w:val="center"/>
      </w:pPr>
      <w:r>
        <w:rPr>
          <w:b/>
          <w:sz w:val="36"/>
        </w:rPr>
        <w:t>WEEK 4 TASK</w:t>
      </w:r>
    </w:p>
    <w:p w14:paraId="7560F303" w14:textId="77777777" w:rsidR="004C5B46" w:rsidRDefault="00000000">
      <w:pPr>
        <w:spacing w:after="93"/>
        <w:jc w:val="center"/>
      </w:pPr>
      <w:r>
        <w:rPr>
          <w:b/>
          <w:sz w:val="36"/>
        </w:rPr>
        <w:t>Coding Style Guidelines &amp; Inline Documentation</w:t>
      </w:r>
    </w:p>
    <w:p w14:paraId="2357C349" w14:textId="77777777" w:rsidR="004C5B46" w:rsidRDefault="00000000">
      <w:pPr>
        <w:spacing w:after="447"/>
        <w:ind w:left="0" w:firstLine="0"/>
        <w:jc w:val="center"/>
      </w:pPr>
      <w:r>
        <w:rPr>
          <w:sz w:val="22"/>
        </w:rPr>
        <w:t>YUVA Intern – Junior Software Developer Intern</w:t>
      </w:r>
    </w:p>
    <w:p w14:paraId="78EB9178" w14:textId="77777777" w:rsidR="004C5B46" w:rsidRDefault="00000000">
      <w:pPr>
        <w:pStyle w:val="Heading1"/>
        <w:ind w:left="296" w:hanging="311"/>
      </w:pPr>
      <w:r>
        <w:t>Introduction</w:t>
      </w:r>
    </w:p>
    <w:p w14:paraId="0038B384" w14:textId="77777777" w:rsidR="004C5B46" w:rsidRDefault="00000000">
      <w:pPr>
        <w:spacing w:after="191"/>
        <w:ind w:left="-5"/>
      </w:pPr>
      <w:r>
        <w:t>Coding standards and documentation are essential for developing software that is readable, consistent, reliable, and easy to maintain. When a development team follows common coding conventions, different developers can understand and modify each other’s work more easily. Clear documentation also reduces the time required to understand complex logic and helps new team members contribute to the project.</w:t>
      </w:r>
    </w:p>
    <w:p w14:paraId="1A4B7971" w14:textId="77777777" w:rsidR="004C5B46" w:rsidRDefault="00000000">
      <w:pPr>
        <w:spacing w:after="321"/>
        <w:ind w:left="-5"/>
      </w:pPr>
      <w:r>
        <w:t>The purpose of this document is to propose practical coding style guidelines and inline documentation practices that can be adopted by a software development team. The guidelines cover naming conventions, formatting, comments, file organization, documentation tools, and collaboration practices.</w:t>
      </w:r>
    </w:p>
    <w:p w14:paraId="5C7E9727" w14:textId="77777777" w:rsidR="004C5B46" w:rsidRDefault="00000000">
      <w:pPr>
        <w:pStyle w:val="Heading1"/>
        <w:ind w:left="296" w:hanging="311"/>
      </w:pPr>
      <w:r>
        <w:t>Coding Style Rules</w:t>
      </w:r>
    </w:p>
    <w:p w14:paraId="7F7996BA" w14:textId="77777777" w:rsidR="004C5B46" w:rsidRDefault="00000000">
      <w:pPr>
        <w:pStyle w:val="Heading2"/>
        <w:ind w:left="-5"/>
      </w:pPr>
      <w:r>
        <w:t>Naming conventions</w:t>
      </w:r>
    </w:p>
    <w:p w14:paraId="76984EA2" w14:textId="77777777" w:rsidR="004C5B46" w:rsidRDefault="00000000">
      <w:pPr>
        <w:numPr>
          <w:ilvl w:val="0"/>
          <w:numId w:val="1"/>
        </w:numPr>
        <w:ind w:hanging="132"/>
      </w:pPr>
      <w:r>
        <w:t>Use meaningful and descriptive names for variables, functions, classes, and files.</w:t>
      </w:r>
    </w:p>
    <w:tbl>
      <w:tblPr>
        <w:tblStyle w:val="TableGrid"/>
        <w:tblpPr w:vertAnchor="page" w:horzAnchor="page" w:tblpX="1580" w:tblpY="14220"/>
        <w:tblOverlap w:val="never"/>
        <w:tblW w:w="9466" w:type="dxa"/>
        <w:tblInd w:w="0" w:type="dxa"/>
        <w:tblCellMar>
          <w:top w:w="0" w:type="dxa"/>
          <w:left w:w="160" w:type="dxa"/>
          <w:bottom w:w="0" w:type="dxa"/>
          <w:right w:w="115" w:type="dxa"/>
        </w:tblCellMar>
        <w:tblLook w:val="04A0" w:firstRow="1" w:lastRow="0" w:firstColumn="1" w:lastColumn="0" w:noHBand="0" w:noVBand="1"/>
      </w:tblPr>
      <w:tblGrid>
        <w:gridCol w:w="9466"/>
      </w:tblGrid>
      <w:tr w:rsidR="004C5B46" w14:paraId="22DC50E8" w14:textId="77777777">
        <w:trPr>
          <w:trHeight w:val="1520"/>
        </w:trPr>
        <w:tc>
          <w:tcPr>
            <w:tcW w:w="9466" w:type="dxa"/>
            <w:tcBorders>
              <w:top w:val="nil"/>
              <w:left w:val="nil"/>
              <w:bottom w:val="nil"/>
              <w:right w:val="nil"/>
            </w:tcBorders>
            <w:shd w:val="clear" w:color="auto" w:fill="F5F5F5"/>
            <w:vAlign w:val="center"/>
          </w:tcPr>
          <w:p w14:paraId="4C0DA0CD" w14:textId="77777777" w:rsidR="004C5B46" w:rsidRDefault="00000000">
            <w:pPr>
              <w:spacing w:after="240" w:line="299" w:lineRule="auto"/>
              <w:ind w:left="0" w:right="6334" w:firstLine="0"/>
            </w:pPr>
            <w:r>
              <w:rPr>
                <w:rFonts w:ascii="Courier New" w:eastAsia="Courier New" w:hAnsi="Courier New" w:cs="Courier New"/>
                <w:sz w:val="17"/>
              </w:rPr>
              <w:t># Bad: repeats the code count += 1</w:t>
            </w:r>
          </w:p>
          <w:p w14:paraId="41DEAD5E" w14:textId="77777777" w:rsidR="004C5B46" w:rsidRDefault="00000000">
            <w:pPr>
              <w:spacing w:after="32"/>
              <w:ind w:left="0" w:firstLine="0"/>
            </w:pPr>
            <w:r>
              <w:rPr>
                <w:rFonts w:ascii="Courier New" w:eastAsia="Courier New" w:hAnsi="Courier New" w:cs="Courier New"/>
                <w:sz w:val="17"/>
              </w:rPr>
              <w:t># Good: explains the reason</w:t>
            </w:r>
          </w:p>
          <w:p w14:paraId="16ADC146" w14:textId="77777777" w:rsidR="004C5B46" w:rsidRDefault="00000000">
            <w:pPr>
              <w:spacing w:after="0"/>
              <w:ind w:left="0" w:firstLine="0"/>
            </w:pPr>
            <w:r>
              <w:rPr>
                <w:rFonts w:ascii="Courier New" w:eastAsia="Courier New" w:hAnsi="Courier New" w:cs="Courier New"/>
                <w:sz w:val="17"/>
              </w:rPr>
              <w:t xml:space="preserve"># Increase </w:t>
            </w:r>
            <w:proofErr w:type="gramStart"/>
            <w:r>
              <w:rPr>
                <w:rFonts w:ascii="Courier New" w:eastAsia="Courier New" w:hAnsi="Courier New" w:cs="Courier New"/>
                <w:sz w:val="17"/>
              </w:rPr>
              <w:t>retry</w:t>
            </w:r>
            <w:proofErr w:type="gramEnd"/>
            <w:r>
              <w:rPr>
                <w:rFonts w:ascii="Courier New" w:eastAsia="Courier New" w:hAnsi="Courier New" w:cs="Courier New"/>
                <w:sz w:val="17"/>
              </w:rPr>
              <w:t xml:space="preserve"> count before attempting the request again</w:t>
            </w:r>
          </w:p>
        </w:tc>
      </w:tr>
    </w:tbl>
    <w:p w14:paraId="791889C7" w14:textId="77777777" w:rsidR="004C5B46" w:rsidRDefault="00000000">
      <w:pPr>
        <w:numPr>
          <w:ilvl w:val="0"/>
          <w:numId w:val="1"/>
        </w:numPr>
        <w:ind w:hanging="132"/>
      </w:pPr>
      <w:r>
        <w:t>Use camelCase for variables and functions in languages where it is standard.</w:t>
      </w:r>
    </w:p>
    <w:p w14:paraId="3D6A8BA8" w14:textId="77777777" w:rsidR="004C5B46" w:rsidRDefault="00000000">
      <w:pPr>
        <w:numPr>
          <w:ilvl w:val="0"/>
          <w:numId w:val="1"/>
        </w:numPr>
        <w:ind w:hanging="132"/>
      </w:pPr>
      <w:r>
        <w:t xml:space="preserve">Use </w:t>
      </w:r>
      <w:proofErr w:type="spellStart"/>
      <w:r>
        <w:t>PascalCase</w:t>
      </w:r>
      <w:proofErr w:type="spellEnd"/>
      <w:r>
        <w:t xml:space="preserve"> for classes and interfaces where applicable.</w:t>
      </w:r>
    </w:p>
    <w:p w14:paraId="3B7C8951" w14:textId="77777777" w:rsidR="004C5B46" w:rsidRDefault="00000000">
      <w:pPr>
        <w:numPr>
          <w:ilvl w:val="0"/>
          <w:numId w:val="1"/>
        </w:numPr>
        <w:ind w:hanging="132"/>
      </w:pPr>
      <w:r>
        <w:t>Use UPPER_SNAKE_CASE for constants when the language convention supports it.</w:t>
      </w:r>
    </w:p>
    <w:p w14:paraId="33ACC7BC" w14:textId="77777777" w:rsidR="004C5B46" w:rsidRDefault="00000000">
      <w:pPr>
        <w:numPr>
          <w:ilvl w:val="0"/>
          <w:numId w:val="1"/>
        </w:numPr>
        <w:spacing w:after="199"/>
        <w:ind w:hanging="132"/>
      </w:pPr>
      <w:r>
        <w:t xml:space="preserve">Avoid unclear names such as x, temp, </w:t>
      </w:r>
      <w:proofErr w:type="spellStart"/>
      <w:r>
        <w:t>abc</w:t>
      </w:r>
      <w:proofErr w:type="spellEnd"/>
      <w:r>
        <w:t>, or data unless their purpose is obvious from context.</w:t>
      </w:r>
    </w:p>
    <w:p w14:paraId="067752F0" w14:textId="77777777" w:rsidR="004C5B46" w:rsidRDefault="00000000">
      <w:pPr>
        <w:pStyle w:val="Heading2"/>
        <w:ind w:left="-5"/>
      </w:pPr>
      <w:r>
        <w:t>Indentation and formatting</w:t>
      </w:r>
    </w:p>
    <w:p w14:paraId="2AB57A49" w14:textId="77777777" w:rsidR="004C5B46" w:rsidRDefault="00000000">
      <w:pPr>
        <w:numPr>
          <w:ilvl w:val="0"/>
          <w:numId w:val="2"/>
        </w:numPr>
        <w:ind w:hanging="132"/>
      </w:pPr>
      <w:r>
        <w:t>Use consistent indentation throughout the project.</w:t>
      </w:r>
    </w:p>
    <w:p w14:paraId="0F2105BC" w14:textId="77777777" w:rsidR="004C5B46" w:rsidRDefault="00000000">
      <w:pPr>
        <w:numPr>
          <w:ilvl w:val="0"/>
          <w:numId w:val="2"/>
        </w:numPr>
        <w:ind w:hanging="132"/>
      </w:pPr>
      <w:r>
        <w:t>Keep lines reasonably short to improve readability.</w:t>
      </w:r>
    </w:p>
    <w:p w14:paraId="00E5AE28" w14:textId="77777777" w:rsidR="004C5B46" w:rsidRDefault="00000000">
      <w:pPr>
        <w:numPr>
          <w:ilvl w:val="0"/>
          <w:numId w:val="2"/>
        </w:numPr>
        <w:ind w:hanging="132"/>
      </w:pPr>
      <w:r>
        <w:t>Place braces and spaces consistently according to the selected language style guide.</w:t>
      </w:r>
    </w:p>
    <w:p w14:paraId="0656D222" w14:textId="77777777" w:rsidR="004C5B46" w:rsidRDefault="00000000">
      <w:pPr>
        <w:numPr>
          <w:ilvl w:val="0"/>
          <w:numId w:val="2"/>
        </w:numPr>
        <w:ind w:hanging="132"/>
      </w:pPr>
      <w:r>
        <w:t>Avoid unnecessary blank lines and excessive nesting.</w:t>
      </w:r>
    </w:p>
    <w:p w14:paraId="4BC80C2A" w14:textId="77777777" w:rsidR="004C5B46" w:rsidRDefault="00000000">
      <w:pPr>
        <w:numPr>
          <w:ilvl w:val="0"/>
          <w:numId w:val="2"/>
        </w:numPr>
        <w:spacing w:after="199"/>
        <w:ind w:hanging="132"/>
      </w:pPr>
      <w:r>
        <w:t>Use automatic formatters whenever possible.</w:t>
      </w:r>
    </w:p>
    <w:p w14:paraId="548773DE" w14:textId="77777777" w:rsidR="004C5B46" w:rsidRDefault="00000000">
      <w:pPr>
        <w:pStyle w:val="Heading2"/>
        <w:ind w:left="-5"/>
      </w:pPr>
      <w:r>
        <w:t>File organization</w:t>
      </w:r>
    </w:p>
    <w:p w14:paraId="6B74E69C" w14:textId="77777777" w:rsidR="004C5B46" w:rsidRDefault="00000000">
      <w:pPr>
        <w:spacing w:after="321"/>
        <w:ind w:left="-5"/>
      </w:pPr>
      <w:r>
        <w:t>Organize files according to their purpose. Keep related modules together and separate source code, tests, configuration files, documentation, and assets. A consistent project structure helps developers locate files quickly.</w:t>
      </w:r>
    </w:p>
    <w:p w14:paraId="7EBFDC23" w14:textId="77777777" w:rsidR="004C5B46" w:rsidRDefault="00000000">
      <w:pPr>
        <w:pStyle w:val="Heading1"/>
        <w:ind w:left="296" w:hanging="311"/>
      </w:pPr>
      <w:r>
        <w:t>Commenting and Inline Documentation</w:t>
      </w:r>
    </w:p>
    <w:p w14:paraId="216D3975" w14:textId="77777777" w:rsidR="004C5B46" w:rsidRDefault="00000000">
      <w:pPr>
        <w:spacing w:after="191"/>
        <w:ind w:left="-5"/>
      </w:pPr>
      <w:r>
        <w:t xml:space="preserve">Comments should explain </w:t>
      </w:r>
      <w:r>
        <w:rPr>
          <w:b/>
        </w:rPr>
        <w:t>why</w:t>
      </w:r>
      <w:r>
        <w:t xml:space="preserve"> something is done rather than simply repeating what the code already says. Comments should be short, accurate, and updated whenever the related code changes.</w:t>
      </w:r>
    </w:p>
    <w:p w14:paraId="7641F207" w14:textId="77777777" w:rsidR="004C5B46" w:rsidRDefault="00000000">
      <w:pPr>
        <w:ind w:left="-5"/>
      </w:pPr>
      <w:r>
        <w:t>Example:</w:t>
      </w:r>
    </w:p>
    <w:p w14:paraId="5AEEDD0B" w14:textId="77777777" w:rsidR="004C5B46" w:rsidRDefault="00000000">
      <w:pPr>
        <w:shd w:val="clear" w:color="auto" w:fill="F5F5F5"/>
        <w:spacing w:after="248" w:line="264" w:lineRule="auto"/>
        <w:ind w:left="715" w:right="2399"/>
      </w:pPr>
      <w:r>
        <w:rPr>
          <w:rFonts w:ascii="Courier New" w:eastAsia="Courier New" w:hAnsi="Courier New" w:cs="Courier New"/>
          <w:sz w:val="17"/>
        </w:rPr>
        <w:t>count += 1</w:t>
      </w:r>
    </w:p>
    <w:p w14:paraId="18A2DB6C" w14:textId="77777777" w:rsidR="004C5B46" w:rsidRDefault="00000000">
      <w:pPr>
        <w:spacing w:after="321"/>
        <w:ind w:left="-5"/>
      </w:pPr>
      <w:r>
        <w:lastRenderedPageBreak/>
        <w:t>For complex algorithms, add a brief explanation of the approach, important assumptions, edge cases, or business rules. Avoid leaving obsolete comments because they can mislead future developers.</w:t>
      </w:r>
    </w:p>
    <w:p w14:paraId="3AC86B58" w14:textId="77777777" w:rsidR="004C5B46" w:rsidRDefault="00000000">
      <w:pPr>
        <w:pStyle w:val="Heading1"/>
        <w:ind w:left="296" w:hanging="311"/>
      </w:pPr>
      <w:r>
        <w:t>Documentation Tools</w:t>
      </w:r>
    </w:p>
    <w:p w14:paraId="35CACFC8" w14:textId="77777777" w:rsidR="004C5B46" w:rsidRDefault="00000000">
      <w:pPr>
        <w:spacing w:after="191"/>
        <w:ind w:left="-5"/>
      </w:pPr>
      <w:r>
        <w:t>Documentation tools can generate structured documentation directly from source code. Common approaches include:</w:t>
      </w:r>
    </w:p>
    <w:p w14:paraId="40920A11" w14:textId="77777777" w:rsidR="004C5B46" w:rsidRDefault="00000000">
      <w:pPr>
        <w:numPr>
          <w:ilvl w:val="0"/>
          <w:numId w:val="3"/>
        </w:numPr>
        <w:ind w:hanging="132"/>
      </w:pPr>
      <w:r>
        <w:rPr>
          <w:b/>
        </w:rPr>
        <w:t>Javadoc:</w:t>
      </w:r>
      <w:r>
        <w:t xml:space="preserve"> Used for documenting Java classes, methods, parameters, and return values.</w:t>
      </w:r>
    </w:p>
    <w:p w14:paraId="3D9902EC" w14:textId="77777777" w:rsidR="004C5B46" w:rsidRDefault="00000000">
      <w:pPr>
        <w:numPr>
          <w:ilvl w:val="0"/>
          <w:numId w:val="3"/>
        </w:numPr>
        <w:ind w:hanging="132"/>
      </w:pPr>
      <w:r>
        <w:rPr>
          <w:b/>
        </w:rPr>
        <w:t>Python Docstrings:</w:t>
      </w:r>
      <w:r>
        <w:t xml:space="preserve"> Used to document Python modules, classes, and functions.</w:t>
      </w:r>
    </w:p>
    <w:p w14:paraId="3211DBEC" w14:textId="77777777" w:rsidR="004C5B46" w:rsidRDefault="00000000">
      <w:pPr>
        <w:numPr>
          <w:ilvl w:val="0"/>
          <w:numId w:val="3"/>
        </w:numPr>
        <w:ind w:hanging="132"/>
      </w:pPr>
      <w:r>
        <w:rPr>
          <w:b/>
        </w:rPr>
        <w:t>JavaScript/TypeScript documentation:</w:t>
      </w:r>
      <w:r>
        <w:t xml:space="preserve"> </w:t>
      </w:r>
      <w:proofErr w:type="spellStart"/>
      <w:r>
        <w:t>JSDoc</w:t>
      </w:r>
      <w:proofErr w:type="spellEnd"/>
      <w:r>
        <w:t>-style comments can describe functions, parameters, return values, and types.</w:t>
      </w:r>
    </w:p>
    <w:p w14:paraId="722EAB72" w14:textId="77777777" w:rsidR="004C5B46" w:rsidRDefault="00000000">
      <w:pPr>
        <w:numPr>
          <w:ilvl w:val="0"/>
          <w:numId w:val="3"/>
        </w:numPr>
        <w:spacing w:after="191"/>
        <w:ind w:hanging="132"/>
      </w:pPr>
      <w:r>
        <w:rPr>
          <w:b/>
        </w:rPr>
        <w:t>Automatic formatters and linters:</w:t>
      </w:r>
      <w:r>
        <w:t xml:space="preserve"> Tools such as Prettier, </w:t>
      </w:r>
      <w:proofErr w:type="spellStart"/>
      <w:r>
        <w:t>ESLint</w:t>
      </w:r>
      <w:proofErr w:type="spellEnd"/>
      <w:r>
        <w:t>, Black, or language-specific formatters help enforce consistent style.</w:t>
      </w:r>
    </w:p>
    <w:p w14:paraId="037435E5" w14:textId="77777777" w:rsidR="004C5B46" w:rsidRDefault="00000000">
      <w:pPr>
        <w:ind w:left="-5"/>
      </w:pPr>
      <w:r>
        <w:t>These tools can be integrated into the development workflow and CI/CD pipeline so that formatting and basic quality checks happen automatically.</w:t>
      </w:r>
      <w:r>
        <w:br w:type="page"/>
      </w:r>
    </w:p>
    <w:p w14:paraId="1C4440E0" w14:textId="77777777" w:rsidR="004C5B46" w:rsidRDefault="00000000">
      <w:pPr>
        <w:pStyle w:val="Heading1"/>
        <w:ind w:left="296" w:hanging="311"/>
      </w:pPr>
      <w:r>
        <w:lastRenderedPageBreak/>
        <w:t>Documentation Examples</w:t>
      </w:r>
    </w:p>
    <w:p w14:paraId="01798B13" w14:textId="77777777" w:rsidR="004C5B46" w:rsidRDefault="00000000">
      <w:pPr>
        <w:spacing w:after="0"/>
        <w:ind w:left="-5"/>
      </w:pPr>
      <w:r>
        <w:t>Java example using Javadoc:</w:t>
      </w:r>
    </w:p>
    <w:tbl>
      <w:tblPr>
        <w:tblStyle w:val="TableGrid"/>
        <w:tblW w:w="9466" w:type="dxa"/>
        <w:tblInd w:w="560" w:type="dxa"/>
        <w:tblCellMar>
          <w:top w:w="0" w:type="dxa"/>
          <w:left w:w="160" w:type="dxa"/>
          <w:bottom w:w="0" w:type="dxa"/>
          <w:right w:w="115" w:type="dxa"/>
        </w:tblCellMar>
        <w:tblLook w:val="04A0" w:firstRow="1" w:lastRow="0" w:firstColumn="1" w:lastColumn="0" w:noHBand="0" w:noVBand="1"/>
      </w:tblPr>
      <w:tblGrid>
        <w:gridCol w:w="9466"/>
      </w:tblGrid>
      <w:tr w:rsidR="004C5B46" w14:paraId="2303BA6D" w14:textId="77777777">
        <w:trPr>
          <w:trHeight w:val="2480"/>
        </w:trPr>
        <w:tc>
          <w:tcPr>
            <w:tcW w:w="9466" w:type="dxa"/>
            <w:tcBorders>
              <w:top w:val="nil"/>
              <w:left w:val="nil"/>
              <w:bottom w:val="nil"/>
              <w:right w:val="nil"/>
            </w:tcBorders>
            <w:shd w:val="clear" w:color="auto" w:fill="F5F5F5"/>
            <w:vAlign w:val="center"/>
          </w:tcPr>
          <w:p w14:paraId="2ED90622" w14:textId="77777777" w:rsidR="004C5B46" w:rsidRDefault="00000000">
            <w:pPr>
              <w:spacing w:after="0" w:line="299" w:lineRule="auto"/>
              <w:ind w:left="0" w:right="3580" w:firstLine="0"/>
            </w:pPr>
            <w:r>
              <w:rPr>
                <w:rFonts w:ascii="Courier New" w:eastAsia="Courier New" w:hAnsi="Courier New" w:cs="Courier New"/>
                <w:sz w:val="17"/>
              </w:rPr>
              <w:t>/** * Calculates the total price after applying a discount.</w:t>
            </w:r>
          </w:p>
          <w:p w14:paraId="56CD22F7" w14:textId="77777777" w:rsidR="004C5B46" w:rsidRDefault="00000000">
            <w:pPr>
              <w:numPr>
                <w:ilvl w:val="0"/>
                <w:numId w:val="4"/>
              </w:numPr>
              <w:spacing w:after="32"/>
              <w:ind w:right="2657" w:firstLine="0"/>
            </w:pPr>
            <w:r>
              <w:rPr>
                <w:rFonts w:ascii="Courier New" w:eastAsia="Courier New" w:hAnsi="Courier New" w:cs="Courier New"/>
                <w:sz w:val="17"/>
              </w:rPr>
              <w:t>@param price original price</w:t>
            </w:r>
          </w:p>
          <w:p w14:paraId="16C33031" w14:textId="77777777" w:rsidR="004C5B46" w:rsidRDefault="00000000">
            <w:pPr>
              <w:numPr>
                <w:ilvl w:val="0"/>
                <w:numId w:val="4"/>
              </w:numPr>
              <w:spacing w:after="0" w:line="299" w:lineRule="auto"/>
              <w:ind w:right="2657" w:firstLine="0"/>
            </w:pPr>
            <w:r>
              <w:rPr>
                <w:rFonts w:ascii="Courier New" w:eastAsia="Courier New" w:hAnsi="Courier New" w:cs="Courier New"/>
                <w:sz w:val="17"/>
              </w:rPr>
              <w:t xml:space="preserve">@param discount </w:t>
            </w:r>
            <w:proofErr w:type="spellStart"/>
            <w:r>
              <w:rPr>
                <w:rFonts w:ascii="Courier New" w:eastAsia="Courier New" w:hAnsi="Courier New" w:cs="Courier New"/>
                <w:sz w:val="17"/>
              </w:rPr>
              <w:t>discount</w:t>
            </w:r>
            <w:proofErr w:type="spellEnd"/>
            <w:r>
              <w:rPr>
                <w:rFonts w:ascii="Courier New" w:eastAsia="Courier New" w:hAnsi="Courier New" w:cs="Courier New"/>
                <w:sz w:val="17"/>
              </w:rPr>
              <w:t xml:space="preserve"> percentage* @return final price after discount */</w:t>
            </w:r>
          </w:p>
          <w:p w14:paraId="591C8A7C" w14:textId="77777777" w:rsidR="004C5B46" w:rsidRDefault="00000000">
            <w:pPr>
              <w:spacing w:after="0" w:line="299" w:lineRule="auto"/>
              <w:ind w:left="0" w:right="2356" w:firstLine="0"/>
            </w:pPr>
            <w:r>
              <w:rPr>
                <w:rFonts w:ascii="Courier New" w:eastAsia="Courier New" w:hAnsi="Courier New" w:cs="Courier New"/>
                <w:sz w:val="17"/>
              </w:rPr>
              <w:t xml:space="preserve">public double </w:t>
            </w:r>
            <w:proofErr w:type="spellStart"/>
            <w:proofErr w:type="gramStart"/>
            <w:r>
              <w:rPr>
                <w:rFonts w:ascii="Courier New" w:eastAsia="Courier New" w:hAnsi="Courier New" w:cs="Courier New"/>
                <w:sz w:val="17"/>
              </w:rPr>
              <w:t>calculatePrice</w:t>
            </w:r>
            <w:proofErr w:type="spellEnd"/>
            <w:r>
              <w:rPr>
                <w:rFonts w:ascii="Courier New" w:eastAsia="Courier New" w:hAnsi="Courier New" w:cs="Courier New"/>
                <w:sz w:val="17"/>
              </w:rPr>
              <w:t>(</w:t>
            </w:r>
            <w:proofErr w:type="gramEnd"/>
            <w:r>
              <w:rPr>
                <w:rFonts w:ascii="Courier New" w:eastAsia="Courier New" w:hAnsi="Courier New" w:cs="Courier New"/>
                <w:sz w:val="17"/>
              </w:rPr>
              <w:t xml:space="preserve">double price, double discount) </w:t>
            </w:r>
            <w:proofErr w:type="gramStart"/>
            <w:r>
              <w:rPr>
                <w:rFonts w:ascii="Courier New" w:eastAsia="Courier New" w:hAnsi="Courier New" w:cs="Courier New"/>
                <w:sz w:val="17"/>
              </w:rPr>
              <w:t>{ return</w:t>
            </w:r>
            <w:proofErr w:type="gramEnd"/>
            <w:r>
              <w:rPr>
                <w:rFonts w:ascii="Courier New" w:eastAsia="Courier New" w:hAnsi="Courier New" w:cs="Courier New"/>
                <w:sz w:val="17"/>
              </w:rPr>
              <w:t xml:space="preserve"> price - (price * discount / 100);</w:t>
            </w:r>
          </w:p>
          <w:p w14:paraId="36F9AA36" w14:textId="77777777" w:rsidR="004C5B46" w:rsidRDefault="00000000">
            <w:pPr>
              <w:spacing w:after="0"/>
              <w:ind w:left="0" w:firstLine="0"/>
            </w:pPr>
            <w:r>
              <w:rPr>
                <w:rFonts w:ascii="Courier New" w:eastAsia="Courier New" w:hAnsi="Courier New" w:cs="Courier New"/>
                <w:sz w:val="17"/>
              </w:rPr>
              <w:t>}</w:t>
            </w:r>
          </w:p>
        </w:tc>
      </w:tr>
    </w:tbl>
    <w:p w14:paraId="6113B526" w14:textId="77777777" w:rsidR="004C5B46" w:rsidRDefault="00000000">
      <w:pPr>
        <w:spacing w:after="159"/>
        <w:ind w:left="-5"/>
      </w:pPr>
      <w:r>
        <w:t>Python example using a docstring:</w:t>
      </w:r>
    </w:p>
    <w:p w14:paraId="4C194C92" w14:textId="77777777" w:rsidR="004C5B46" w:rsidRDefault="00000000">
      <w:pPr>
        <w:shd w:val="clear" w:color="auto" w:fill="F5F5F5"/>
        <w:spacing w:after="335" w:line="264" w:lineRule="auto"/>
        <w:ind w:left="715" w:right="2399"/>
      </w:pPr>
      <w:r>
        <w:rPr>
          <w:rFonts w:ascii="Courier New" w:eastAsia="Courier New" w:hAnsi="Courier New" w:cs="Courier New"/>
          <w:sz w:val="17"/>
        </w:rPr>
        <w:t xml:space="preserve">def </w:t>
      </w:r>
      <w:proofErr w:type="spellStart"/>
      <w:r>
        <w:rPr>
          <w:rFonts w:ascii="Courier New" w:eastAsia="Courier New" w:hAnsi="Courier New" w:cs="Courier New"/>
          <w:sz w:val="17"/>
        </w:rPr>
        <w:t>calculate_</w:t>
      </w:r>
      <w:proofErr w:type="gramStart"/>
      <w:r>
        <w:rPr>
          <w:rFonts w:ascii="Courier New" w:eastAsia="Courier New" w:hAnsi="Courier New" w:cs="Courier New"/>
          <w:sz w:val="17"/>
        </w:rPr>
        <w:t>price</w:t>
      </w:r>
      <w:proofErr w:type="spellEnd"/>
      <w:r>
        <w:rPr>
          <w:rFonts w:ascii="Courier New" w:eastAsia="Courier New" w:hAnsi="Courier New" w:cs="Courier New"/>
          <w:sz w:val="17"/>
        </w:rPr>
        <w:t>(</w:t>
      </w:r>
      <w:proofErr w:type="gramEnd"/>
      <w:r>
        <w:rPr>
          <w:rFonts w:ascii="Courier New" w:eastAsia="Courier New" w:hAnsi="Courier New" w:cs="Courier New"/>
          <w:sz w:val="17"/>
        </w:rPr>
        <w:t>price, discount): """Return the final price after applying a percentage discount.""" return price - (price * discount / 100)</w:t>
      </w:r>
    </w:p>
    <w:p w14:paraId="019B47BF" w14:textId="77777777" w:rsidR="004C5B46" w:rsidRDefault="00000000">
      <w:pPr>
        <w:pStyle w:val="Heading1"/>
        <w:ind w:left="296" w:hanging="311"/>
      </w:pPr>
      <w:r>
        <w:t>Mini Case Study</w:t>
      </w:r>
    </w:p>
    <w:p w14:paraId="3D1C2189" w14:textId="77777777" w:rsidR="004C5B46" w:rsidRDefault="00000000">
      <w:pPr>
        <w:spacing w:after="191"/>
        <w:ind w:left="-5"/>
      </w:pPr>
      <w:r>
        <w:t xml:space="preserve">Consider an online shopping application. A function named </w:t>
      </w:r>
      <w:proofErr w:type="spellStart"/>
      <w:proofErr w:type="gramStart"/>
      <w:r>
        <w:t>calculateTotal</w:t>
      </w:r>
      <w:proofErr w:type="spellEnd"/>
      <w:r>
        <w:t>(</w:t>
      </w:r>
      <w:proofErr w:type="gramEnd"/>
      <w:r>
        <w:t xml:space="preserve">) should clearly communicate its purpose. Variables such as </w:t>
      </w:r>
      <w:proofErr w:type="spellStart"/>
      <w:r>
        <w:t>itemPrice</w:t>
      </w:r>
      <w:proofErr w:type="spellEnd"/>
      <w:r>
        <w:t xml:space="preserve">, quantity, and </w:t>
      </w:r>
      <w:proofErr w:type="spellStart"/>
      <w:r>
        <w:t>discountPercentage</w:t>
      </w:r>
      <w:proofErr w:type="spellEnd"/>
      <w:r>
        <w:t xml:space="preserve"> are easier to understand than vague names such as a, b, and d. If the application applies a special business rule, an inline comment or documentation block can explain that rule and its reason.</w:t>
      </w:r>
    </w:p>
    <w:p w14:paraId="7B3F529E" w14:textId="77777777" w:rsidR="004C5B46" w:rsidRDefault="00000000">
      <w:pPr>
        <w:spacing w:after="321"/>
        <w:ind w:left="-5"/>
      </w:pPr>
      <w:r>
        <w:t xml:space="preserve">Instead of writing a long comment describing every line, the developer should document the business rule and keep the implementation itself clear. Unit tests should also be used to demonstrate expected </w:t>
      </w:r>
      <w:proofErr w:type="spellStart"/>
      <w:r>
        <w:t>behavior</w:t>
      </w:r>
      <w:proofErr w:type="spellEnd"/>
      <w:r>
        <w:t xml:space="preserve"> for normal cases and edge cases.</w:t>
      </w:r>
    </w:p>
    <w:p w14:paraId="47517880" w14:textId="77777777" w:rsidR="004C5B46" w:rsidRDefault="00000000">
      <w:pPr>
        <w:pStyle w:val="Heading1"/>
        <w:ind w:left="296" w:hanging="311"/>
      </w:pPr>
      <w:r>
        <w:t>Tools and Workflow</w:t>
      </w:r>
    </w:p>
    <w:p w14:paraId="1B889F25" w14:textId="77777777" w:rsidR="004C5B46" w:rsidRDefault="00000000">
      <w:pPr>
        <w:spacing w:after="321"/>
        <w:ind w:left="-5"/>
      </w:pPr>
      <w:r>
        <w:t>A practical workflow is to format code before committing it, run a linter to identify style issues, review documentation for public functions and classes, and run automated tests. Teams can configure these checks in version-control workflows or CI/CD pipelines. This reduces manual effort and helps maintain consistent quality across contributions.</w:t>
      </w:r>
    </w:p>
    <w:p w14:paraId="634DFD58" w14:textId="77777777" w:rsidR="004C5B46" w:rsidRDefault="00000000">
      <w:pPr>
        <w:pStyle w:val="Heading1"/>
        <w:ind w:left="296" w:hanging="311"/>
      </w:pPr>
      <w:r>
        <w:t>Consistency and Team Collaboration</w:t>
      </w:r>
    </w:p>
    <w:p w14:paraId="41FD0DEF" w14:textId="77777777" w:rsidR="004C5B46" w:rsidRDefault="00000000">
      <w:pPr>
        <w:spacing w:after="191"/>
        <w:ind w:left="-5"/>
      </w:pPr>
      <w:r>
        <w:t>Coding guidelines are most useful when the entire team follows them. The team should agree on a common style guide, include it in the project documentation, and use code reviews to maintain consistency. Pull requests should focus on correctness, readability, maintainability, and adherence to agreed standards.</w:t>
      </w:r>
    </w:p>
    <w:p w14:paraId="240C520F" w14:textId="77777777" w:rsidR="004C5B46" w:rsidRDefault="00000000">
      <w:pPr>
        <w:spacing w:after="321"/>
        <w:ind w:left="-5"/>
      </w:pPr>
      <w:r>
        <w:t>Consistent code makes collaboration easier because developers spend less time adapting to different personal styles. It also makes future maintenance, debugging, testing, and onboarding more efficient.</w:t>
      </w:r>
    </w:p>
    <w:p w14:paraId="07B4C0D3" w14:textId="77777777" w:rsidR="004C5B46" w:rsidRDefault="00000000">
      <w:pPr>
        <w:pStyle w:val="Heading1"/>
        <w:spacing w:after="0"/>
        <w:ind w:left="296" w:hanging="311"/>
      </w:pPr>
      <w:r>
        <w:t>Best Practices Checklist</w:t>
      </w:r>
    </w:p>
    <w:tbl>
      <w:tblPr>
        <w:tblStyle w:val="TableGrid"/>
        <w:tblW w:w="9298" w:type="dxa"/>
        <w:tblInd w:w="284" w:type="dxa"/>
        <w:tblCellMar>
          <w:top w:w="0" w:type="dxa"/>
          <w:left w:w="120" w:type="dxa"/>
          <w:bottom w:w="0" w:type="dxa"/>
          <w:right w:w="115" w:type="dxa"/>
        </w:tblCellMar>
        <w:tblLook w:val="04A0" w:firstRow="1" w:lastRow="0" w:firstColumn="1" w:lastColumn="0" w:noHBand="0" w:noVBand="1"/>
      </w:tblPr>
      <w:tblGrid>
        <w:gridCol w:w="2381"/>
        <w:gridCol w:w="6917"/>
      </w:tblGrid>
      <w:tr w:rsidR="004C5B46" w14:paraId="2F255EC6" w14:textId="77777777">
        <w:trPr>
          <w:trHeight w:val="440"/>
        </w:trPr>
        <w:tc>
          <w:tcPr>
            <w:tcW w:w="2381" w:type="dxa"/>
            <w:tcBorders>
              <w:top w:val="single" w:sz="4" w:space="0" w:color="808080"/>
              <w:left w:val="single" w:sz="4" w:space="0" w:color="808080"/>
              <w:bottom w:val="single" w:sz="4" w:space="0" w:color="808080"/>
              <w:right w:val="single" w:sz="4" w:space="0" w:color="808080"/>
            </w:tcBorders>
            <w:shd w:val="clear" w:color="auto" w:fill="D3D3D3"/>
            <w:vAlign w:val="center"/>
          </w:tcPr>
          <w:p w14:paraId="3C561B0C" w14:textId="77777777" w:rsidR="004C5B46" w:rsidRDefault="00000000">
            <w:pPr>
              <w:spacing w:after="0"/>
              <w:ind w:left="0" w:firstLine="0"/>
            </w:pPr>
            <w:r>
              <w:rPr>
                <w:b/>
                <w:sz w:val="18"/>
              </w:rPr>
              <w:t>Practice</w:t>
            </w:r>
          </w:p>
        </w:tc>
        <w:tc>
          <w:tcPr>
            <w:tcW w:w="6917" w:type="dxa"/>
            <w:tcBorders>
              <w:top w:val="single" w:sz="4" w:space="0" w:color="808080"/>
              <w:left w:val="single" w:sz="4" w:space="0" w:color="808080"/>
              <w:bottom w:val="single" w:sz="4" w:space="0" w:color="808080"/>
              <w:right w:val="single" w:sz="4" w:space="0" w:color="808080"/>
            </w:tcBorders>
            <w:shd w:val="clear" w:color="auto" w:fill="D3D3D3"/>
            <w:vAlign w:val="center"/>
          </w:tcPr>
          <w:p w14:paraId="4E585E45" w14:textId="77777777" w:rsidR="004C5B46" w:rsidRDefault="00000000">
            <w:pPr>
              <w:spacing w:after="0"/>
              <w:ind w:left="0" w:firstLine="0"/>
            </w:pPr>
            <w:r>
              <w:rPr>
                <w:b/>
                <w:sz w:val="18"/>
              </w:rPr>
              <w:t>Guideline</w:t>
            </w:r>
          </w:p>
        </w:tc>
      </w:tr>
      <w:tr w:rsidR="004C5B46" w14:paraId="4952136C" w14:textId="77777777">
        <w:trPr>
          <w:trHeight w:val="440"/>
        </w:trPr>
        <w:tc>
          <w:tcPr>
            <w:tcW w:w="2381" w:type="dxa"/>
            <w:tcBorders>
              <w:top w:val="single" w:sz="4" w:space="0" w:color="808080"/>
              <w:left w:val="single" w:sz="4" w:space="0" w:color="808080"/>
              <w:bottom w:val="single" w:sz="4" w:space="0" w:color="808080"/>
              <w:right w:val="single" w:sz="4" w:space="0" w:color="808080"/>
            </w:tcBorders>
            <w:vAlign w:val="center"/>
          </w:tcPr>
          <w:p w14:paraId="47B1A660" w14:textId="77777777" w:rsidR="004C5B46" w:rsidRDefault="00000000">
            <w:pPr>
              <w:spacing w:after="0"/>
              <w:ind w:left="0" w:firstLine="0"/>
            </w:pPr>
            <w:r>
              <w:rPr>
                <w:sz w:val="18"/>
              </w:rPr>
              <w:t>Naming</w:t>
            </w:r>
          </w:p>
        </w:tc>
        <w:tc>
          <w:tcPr>
            <w:tcW w:w="6917" w:type="dxa"/>
            <w:tcBorders>
              <w:top w:val="single" w:sz="4" w:space="0" w:color="808080"/>
              <w:left w:val="single" w:sz="4" w:space="0" w:color="808080"/>
              <w:bottom w:val="single" w:sz="4" w:space="0" w:color="808080"/>
              <w:right w:val="single" w:sz="4" w:space="0" w:color="808080"/>
            </w:tcBorders>
            <w:vAlign w:val="center"/>
          </w:tcPr>
          <w:p w14:paraId="05487F8E" w14:textId="77777777" w:rsidR="004C5B46" w:rsidRDefault="00000000">
            <w:pPr>
              <w:spacing w:after="0"/>
              <w:ind w:left="0" w:firstLine="0"/>
            </w:pPr>
            <w:r>
              <w:rPr>
                <w:sz w:val="18"/>
              </w:rPr>
              <w:t>Use clear, descriptive and consistent names.</w:t>
            </w:r>
          </w:p>
        </w:tc>
      </w:tr>
      <w:tr w:rsidR="004C5B46" w14:paraId="1F1FD532" w14:textId="77777777">
        <w:trPr>
          <w:trHeight w:val="440"/>
        </w:trPr>
        <w:tc>
          <w:tcPr>
            <w:tcW w:w="2381" w:type="dxa"/>
            <w:tcBorders>
              <w:top w:val="single" w:sz="4" w:space="0" w:color="808080"/>
              <w:left w:val="single" w:sz="4" w:space="0" w:color="808080"/>
              <w:bottom w:val="single" w:sz="4" w:space="0" w:color="808080"/>
              <w:right w:val="single" w:sz="4" w:space="0" w:color="808080"/>
            </w:tcBorders>
            <w:vAlign w:val="center"/>
          </w:tcPr>
          <w:p w14:paraId="6CBFEFD9" w14:textId="77777777" w:rsidR="004C5B46" w:rsidRDefault="00000000">
            <w:pPr>
              <w:spacing w:after="0"/>
              <w:ind w:left="0" w:firstLine="0"/>
            </w:pPr>
            <w:r>
              <w:rPr>
                <w:sz w:val="18"/>
              </w:rPr>
              <w:t>Formatting</w:t>
            </w:r>
          </w:p>
        </w:tc>
        <w:tc>
          <w:tcPr>
            <w:tcW w:w="6917" w:type="dxa"/>
            <w:tcBorders>
              <w:top w:val="single" w:sz="4" w:space="0" w:color="808080"/>
              <w:left w:val="single" w:sz="4" w:space="0" w:color="808080"/>
              <w:bottom w:val="single" w:sz="4" w:space="0" w:color="808080"/>
              <w:right w:val="single" w:sz="4" w:space="0" w:color="808080"/>
            </w:tcBorders>
            <w:vAlign w:val="center"/>
          </w:tcPr>
          <w:p w14:paraId="1A613AF7" w14:textId="77777777" w:rsidR="004C5B46" w:rsidRDefault="00000000">
            <w:pPr>
              <w:spacing w:after="0"/>
              <w:ind w:left="0" w:firstLine="0"/>
            </w:pPr>
            <w:r>
              <w:rPr>
                <w:sz w:val="18"/>
              </w:rPr>
              <w:t>Follow consistent indentation and spacing.</w:t>
            </w:r>
          </w:p>
        </w:tc>
      </w:tr>
      <w:tr w:rsidR="004C5B46" w14:paraId="295EB214" w14:textId="77777777">
        <w:trPr>
          <w:trHeight w:val="440"/>
        </w:trPr>
        <w:tc>
          <w:tcPr>
            <w:tcW w:w="2381" w:type="dxa"/>
            <w:tcBorders>
              <w:top w:val="single" w:sz="4" w:space="0" w:color="808080"/>
              <w:left w:val="single" w:sz="4" w:space="0" w:color="808080"/>
              <w:bottom w:val="single" w:sz="4" w:space="0" w:color="808080"/>
              <w:right w:val="single" w:sz="4" w:space="0" w:color="808080"/>
            </w:tcBorders>
            <w:vAlign w:val="center"/>
          </w:tcPr>
          <w:p w14:paraId="2342B33C" w14:textId="77777777" w:rsidR="004C5B46" w:rsidRDefault="00000000">
            <w:pPr>
              <w:spacing w:after="0"/>
              <w:ind w:left="0" w:firstLine="0"/>
            </w:pPr>
            <w:r>
              <w:rPr>
                <w:sz w:val="18"/>
              </w:rPr>
              <w:t>Comments</w:t>
            </w:r>
          </w:p>
        </w:tc>
        <w:tc>
          <w:tcPr>
            <w:tcW w:w="6917" w:type="dxa"/>
            <w:tcBorders>
              <w:top w:val="single" w:sz="4" w:space="0" w:color="808080"/>
              <w:left w:val="single" w:sz="4" w:space="0" w:color="808080"/>
              <w:bottom w:val="single" w:sz="4" w:space="0" w:color="808080"/>
              <w:right w:val="single" w:sz="4" w:space="0" w:color="808080"/>
            </w:tcBorders>
            <w:vAlign w:val="center"/>
          </w:tcPr>
          <w:p w14:paraId="50E2D6FE" w14:textId="77777777" w:rsidR="004C5B46" w:rsidRDefault="00000000">
            <w:pPr>
              <w:spacing w:after="0"/>
              <w:ind w:left="0" w:firstLine="0"/>
            </w:pPr>
            <w:r>
              <w:rPr>
                <w:sz w:val="18"/>
              </w:rPr>
              <w:t>Explain complex logic and reasons, not obvious statements.</w:t>
            </w:r>
          </w:p>
        </w:tc>
      </w:tr>
      <w:tr w:rsidR="004C5B46" w14:paraId="3AE9D723" w14:textId="77777777">
        <w:trPr>
          <w:trHeight w:val="440"/>
        </w:trPr>
        <w:tc>
          <w:tcPr>
            <w:tcW w:w="2381" w:type="dxa"/>
            <w:tcBorders>
              <w:top w:val="single" w:sz="4" w:space="0" w:color="808080"/>
              <w:left w:val="single" w:sz="4" w:space="0" w:color="808080"/>
              <w:bottom w:val="single" w:sz="4" w:space="0" w:color="808080"/>
              <w:right w:val="single" w:sz="4" w:space="0" w:color="808080"/>
            </w:tcBorders>
            <w:shd w:val="clear" w:color="auto" w:fill="D3D3D3"/>
            <w:vAlign w:val="center"/>
          </w:tcPr>
          <w:p w14:paraId="30E28102" w14:textId="77777777" w:rsidR="004C5B46" w:rsidRDefault="00000000">
            <w:pPr>
              <w:spacing w:after="0"/>
              <w:ind w:left="0" w:firstLine="0"/>
            </w:pPr>
            <w:r>
              <w:rPr>
                <w:b/>
                <w:sz w:val="18"/>
              </w:rPr>
              <w:t>Practice</w:t>
            </w:r>
          </w:p>
        </w:tc>
        <w:tc>
          <w:tcPr>
            <w:tcW w:w="6917" w:type="dxa"/>
            <w:tcBorders>
              <w:top w:val="single" w:sz="4" w:space="0" w:color="808080"/>
              <w:left w:val="single" w:sz="4" w:space="0" w:color="808080"/>
              <w:bottom w:val="single" w:sz="4" w:space="0" w:color="808080"/>
              <w:right w:val="single" w:sz="4" w:space="0" w:color="808080"/>
            </w:tcBorders>
            <w:shd w:val="clear" w:color="auto" w:fill="D3D3D3"/>
            <w:vAlign w:val="center"/>
          </w:tcPr>
          <w:p w14:paraId="7C7BF819" w14:textId="77777777" w:rsidR="004C5B46" w:rsidRDefault="00000000">
            <w:pPr>
              <w:spacing w:after="0"/>
              <w:ind w:left="0" w:firstLine="0"/>
            </w:pPr>
            <w:r>
              <w:rPr>
                <w:b/>
                <w:sz w:val="18"/>
              </w:rPr>
              <w:t>Guideline</w:t>
            </w:r>
          </w:p>
        </w:tc>
      </w:tr>
      <w:tr w:rsidR="004C5B46" w14:paraId="71C84182" w14:textId="77777777">
        <w:trPr>
          <w:trHeight w:val="440"/>
        </w:trPr>
        <w:tc>
          <w:tcPr>
            <w:tcW w:w="2381" w:type="dxa"/>
            <w:tcBorders>
              <w:top w:val="single" w:sz="4" w:space="0" w:color="808080"/>
              <w:left w:val="single" w:sz="4" w:space="0" w:color="808080"/>
              <w:bottom w:val="single" w:sz="4" w:space="0" w:color="808080"/>
              <w:right w:val="single" w:sz="4" w:space="0" w:color="808080"/>
            </w:tcBorders>
            <w:vAlign w:val="center"/>
          </w:tcPr>
          <w:p w14:paraId="37EF1D87" w14:textId="77777777" w:rsidR="004C5B46" w:rsidRDefault="00000000">
            <w:pPr>
              <w:spacing w:after="0"/>
              <w:ind w:left="0" w:firstLine="0"/>
            </w:pPr>
            <w:r>
              <w:rPr>
                <w:sz w:val="18"/>
              </w:rPr>
              <w:t>Documentation</w:t>
            </w:r>
          </w:p>
        </w:tc>
        <w:tc>
          <w:tcPr>
            <w:tcW w:w="6917" w:type="dxa"/>
            <w:tcBorders>
              <w:top w:val="single" w:sz="4" w:space="0" w:color="808080"/>
              <w:left w:val="single" w:sz="4" w:space="0" w:color="808080"/>
              <w:bottom w:val="single" w:sz="4" w:space="0" w:color="808080"/>
              <w:right w:val="single" w:sz="4" w:space="0" w:color="808080"/>
            </w:tcBorders>
            <w:vAlign w:val="center"/>
          </w:tcPr>
          <w:p w14:paraId="6B4C8647" w14:textId="77777777" w:rsidR="004C5B46" w:rsidRDefault="00000000">
            <w:pPr>
              <w:spacing w:after="0"/>
              <w:ind w:left="0" w:firstLine="0"/>
            </w:pPr>
            <w:r>
              <w:rPr>
                <w:sz w:val="18"/>
              </w:rPr>
              <w:t>Document public functions, classes and important modules.</w:t>
            </w:r>
          </w:p>
        </w:tc>
      </w:tr>
      <w:tr w:rsidR="004C5B46" w14:paraId="31076ABC" w14:textId="77777777">
        <w:trPr>
          <w:trHeight w:val="440"/>
        </w:trPr>
        <w:tc>
          <w:tcPr>
            <w:tcW w:w="2381" w:type="dxa"/>
            <w:tcBorders>
              <w:top w:val="single" w:sz="4" w:space="0" w:color="808080"/>
              <w:left w:val="single" w:sz="4" w:space="0" w:color="808080"/>
              <w:bottom w:val="single" w:sz="4" w:space="0" w:color="808080"/>
              <w:right w:val="single" w:sz="4" w:space="0" w:color="808080"/>
            </w:tcBorders>
            <w:vAlign w:val="center"/>
          </w:tcPr>
          <w:p w14:paraId="2A8611D6" w14:textId="77777777" w:rsidR="004C5B46" w:rsidRDefault="00000000">
            <w:pPr>
              <w:spacing w:after="0"/>
              <w:ind w:left="0" w:firstLine="0"/>
            </w:pPr>
            <w:r>
              <w:rPr>
                <w:sz w:val="18"/>
              </w:rPr>
              <w:lastRenderedPageBreak/>
              <w:t>Tools</w:t>
            </w:r>
          </w:p>
        </w:tc>
        <w:tc>
          <w:tcPr>
            <w:tcW w:w="6917" w:type="dxa"/>
            <w:tcBorders>
              <w:top w:val="single" w:sz="4" w:space="0" w:color="808080"/>
              <w:left w:val="single" w:sz="4" w:space="0" w:color="808080"/>
              <w:bottom w:val="single" w:sz="4" w:space="0" w:color="808080"/>
              <w:right w:val="single" w:sz="4" w:space="0" w:color="808080"/>
            </w:tcBorders>
            <w:vAlign w:val="center"/>
          </w:tcPr>
          <w:p w14:paraId="74671116" w14:textId="77777777" w:rsidR="004C5B46" w:rsidRDefault="00000000">
            <w:pPr>
              <w:spacing w:after="0"/>
              <w:ind w:left="0" w:firstLine="0"/>
            </w:pPr>
            <w:r>
              <w:rPr>
                <w:sz w:val="18"/>
              </w:rPr>
              <w:t>Use formatters, linters and documentation generators.</w:t>
            </w:r>
          </w:p>
        </w:tc>
      </w:tr>
      <w:tr w:rsidR="004C5B46" w14:paraId="3E3C0639" w14:textId="77777777">
        <w:trPr>
          <w:trHeight w:val="440"/>
        </w:trPr>
        <w:tc>
          <w:tcPr>
            <w:tcW w:w="2381" w:type="dxa"/>
            <w:tcBorders>
              <w:top w:val="single" w:sz="4" w:space="0" w:color="808080"/>
              <w:left w:val="single" w:sz="4" w:space="0" w:color="808080"/>
              <w:bottom w:val="single" w:sz="4" w:space="0" w:color="808080"/>
              <w:right w:val="single" w:sz="4" w:space="0" w:color="808080"/>
            </w:tcBorders>
            <w:vAlign w:val="center"/>
          </w:tcPr>
          <w:p w14:paraId="04967DF3" w14:textId="77777777" w:rsidR="004C5B46" w:rsidRDefault="00000000">
            <w:pPr>
              <w:spacing w:after="0"/>
              <w:ind w:left="0" w:firstLine="0"/>
            </w:pPr>
            <w:r>
              <w:rPr>
                <w:sz w:val="18"/>
              </w:rPr>
              <w:t>Reviews</w:t>
            </w:r>
          </w:p>
        </w:tc>
        <w:tc>
          <w:tcPr>
            <w:tcW w:w="6917" w:type="dxa"/>
            <w:tcBorders>
              <w:top w:val="single" w:sz="4" w:space="0" w:color="808080"/>
              <w:left w:val="single" w:sz="4" w:space="0" w:color="808080"/>
              <w:bottom w:val="single" w:sz="4" w:space="0" w:color="808080"/>
              <w:right w:val="single" w:sz="4" w:space="0" w:color="808080"/>
            </w:tcBorders>
            <w:vAlign w:val="center"/>
          </w:tcPr>
          <w:p w14:paraId="1C6A89FA" w14:textId="77777777" w:rsidR="004C5B46" w:rsidRDefault="00000000">
            <w:pPr>
              <w:spacing w:after="0"/>
              <w:ind w:left="0" w:firstLine="0"/>
            </w:pPr>
            <w:r>
              <w:rPr>
                <w:sz w:val="18"/>
              </w:rPr>
              <w:t>Check readability and style during code review.</w:t>
            </w:r>
          </w:p>
        </w:tc>
      </w:tr>
      <w:tr w:rsidR="004C5B46" w14:paraId="1D282622" w14:textId="77777777">
        <w:trPr>
          <w:trHeight w:val="440"/>
        </w:trPr>
        <w:tc>
          <w:tcPr>
            <w:tcW w:w="2381" w:type="dxa"/>
            <w:tcBorders>
              <w:top w:val="single" w:sz="4" w:space="0" w:color="808080"/>
              <w:left w:val="single" w:sz="4" w:space="0" w:color="808080"/>
              <w:bottom w:val="single" w:sz="4" w:space="0" w:color="808080"/>
              <w:right w:val="single" w:sz="4" w:space="0" w:color="808080"/>
            </w:tcBorders>
            <w:vAlign w:val="center"/>
          </w:tcPr>
          <w:p w14:paraId="1FC7A0B6" w14:textId="77777777" w:rsidR="004C5B46" w:rsidRDefault="00000000">
            <w:pPr>
              <w:spacing w:after="0"/>
              <w:ind w:left="0" w:firstLine="0"/>
            </w:pPr>
            <w:r>
              <w:rPr>
                <w:sz w:val="18"/>
              </w:rPr>
              <w:t>Maintenance</w:t>
            </w:r>
          </w:p>
        </w:tc>
        <w:tc>
          <w:tcPr>
            <w:tcW w:w="6917" w:type="dxa"/>
            <w:tcBorders>
              <w:top w:val="single" w:sz="4" w:space="0" w:color="808080"/>
              <w:left w:val="single" w:sz="4" w:space="0" w:color="808080"/>
              <w:bottom w:val="single" w:sz="4" w:space="0" w:color="808080"/>
              <w:right w:val="single" w:sz="4" w:space="0" w:color="808080"/>
            </w:tcBorders>
            <w:vAlign w:val="center"/>
          </w:tcPr>
          <w:p w14:paraId="486D1E17" w14:textId="77777777" w:rsidR="004C5B46" w:rsidRDefault="00000000">
            <w:pPr>
              <w:spacing w:after="0"/>
              <w:ind w:left="0" w:firstLine="0"/>
            </w:pPr>
            <w:r>
              <w:rPr>
                <w:sz w:val="18"/>
              </w:rPr>
              <w:t>Update comments and documentation when code changes.</w:t>
            </w:r>
          </w:p>
        </w:tc>
      </w:tr>
    </w:tbl>
    <w:p w14:paraId="284BAEA9" w14:textId="77777777" w:rsidR="004C5B46" w:rsidRDefault="00000000">
      <w:pPr>
        <w:pStyle w:val="Heading1"/>
        <w:ind w:left="452" w:hanging="467"/>
      </w:pPr>
      <w:r>
        <w:t>Conclusion</w:t>
      </w:r>
    </w:p>
    <w:p w14:paraId="7A7847BB" w14:textId="77777777" w:rsidR="004C5B46" w:rsidRDefault="00000000">
      <w:pPr>
        <w:spacing w:after="611"/>
        <w:ind w:left="-5"/>
      </w:pPr>
      <w:r>
        <w:t>A well-defined coding style guide improves readability, consistency, collaboration, and long-term maintainability. Combining clear naming conventions, consistent formatting, meaningful comments, structured documentation, automated tools, and code reviews creates a professional development workflow. These practices help development teams produce code that is easier to understand, test, maintain, and extend.</w:t>
      </w:r>
    </w:p>
    <w:p w14:paraId="7364D5EE" w14:textId="77777777" w:rsidR="004C5B46" w:rsidRDefault="00000000">
      <w:pPr>
        <w:pStyle w:val="Heading2"/>
        <w:ind w:left="-5"/>
      </w:pPr>
      <w:r>
        <w:t>Prepared for: YUVA Intern – Week 4 Task</w:t>
      </w:r>
    </w:p>
    <w:sectPr w:rsidR="004C5B46">
      <w:pgSz w:w="11906" w:h="16838"/>
      <w:pgMar w:top="1020" w:right="1020" w:bottom="1058" w:left="10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0560D5"/>
    <w:multiLevelType w:val="hybridMultilevel"/>
    <w:tmpl w:val="1A0221BE"/>
    <w:lvl w:ilvl="0" w:tplc="DDE2D996">
      <w:start w:val="1"/>
      <w:numFmt w:val="bullet"/>
      <w:lvlText w:val="*"/>
      <w:lvlJc w:val="left"/>
      <w:pPr>
        <w:ind w:left="0"/>
      </w:pPr>
      <w:rPr>
        <w:rFonts w:ascii="Courier New" w:eastAsia="Courier New" w:hAnsi="Courier New" w:cs="Courier New"/>
        <w:b w:val="0"/>
        <w:i w:val="0"/>
        <w:strike w:val="0"/>
        <w:dstrike w:val="0"/>
        <w:color w:val="000000"/>
        <w:sz w:val="17"/>
        <w:szCs w:val="17"/>
        <w:u w:val="none" w:color="000000"/>
        <w:bdr w:val="none" w:sz="0" w:space="0" w:color="auto"/>
        <w:shd w:val="clear" w:color="auto" w:fill="auto"/>
        <w:vertAlign w:val="baseline"/>
      </w:rPr>
    </w:lvl>
    <w:lvl w:ilvl="1" w:tplc="CE8422CE">
      <w:start w:val="1"/>
      <w:numFmt w:val="bullet"/>
      <w:lvlText w:val="o"/>
      <w:lvlJc w:val="left"/>
      <w:pPr>
        <w:ind w:left="1240"/>
      </w:pPr>
      <w:rPr>
        <w:rFonts w:ascii="Courier New" w:eastAsia="Courier New" w:hAnsi="Courier New" w:cs="Courier New"/>
        <w:b w:val="0"/>
        <w:i w:val="0"/>
        <w:strike w:val="0"/>
        <w:dstrike w:val="0"/>
        <w:color w:val="000000"/>
        <w:sz w:val="17"/>
        <w:szCs w:val="17"/>
        <w:u w:val="none" w:color="000000"/>
        <w:bdr w:val="none" w:sz="0" w:space="0" w:color="auto"/>
        <w:shd w:val="clear" w:color="auto" w:fill="auto"/>
        <w:vertAlign w:val="baseline"/>
      </w:rPr>
    </w:lvl>
    <w:lvl w:ilvl="2" w:tplc="B414E7F8">
      <w:start w:val="1"/>
      <w:numFmt w:val="bullet"/>
      <w:lvlText w:val="▪"/>
      <w:lvlJc w:val="left"/>
      <w:pPr>
        <w:ind w:left="1960"/>
      </w:pPr>
      <w:rPr>
        <w:rFonts w:ascii="Courier New" w:eastAsia="Courier New" w:hAnsi="Courier New" w:cs="Courier New"/>
        <w:b w:val="0"/>
        <w:i w:val="0"/>
        <w:strike w:val="0"/>
        <w:dstrike w:val="0"/>
        <w:color w:val="000000"/>
        <w:sz w:val="17"/>
        <w:szCs w:val="17"/>
        <w:u w:val="none" w:color="000000"/>
        <w:bdr w:val="none" w:sz="0" w:space="0" w:color="auto"/>
        <w:shd w:val="clear" w:color="auto" w:fill="auto"/>
        <w:vertAlign w:val="baseline"/>
      </w:rPr>
    </w:lvl>
    <w:lvl w:ilvl="3" w:tplc="B770FB5A">
      <w:start w:val="1"/>
      <w:numFmt w:val="bullet"/>
      <w:lvlText w:val="•"/>
      <w:lvlJc w:val="left"/>
      <w:pPr>
        <w:ind w:left="2680"/>
      </w:pPr>
      <w:rPr>
        <w:rFonts w:ascii="Courier New" w:eastAsia="Courier New" w:hAnsi="Courier New" w:cs="Courier New"/>
        <w:b w:val="0"/>
        <w:i w:val="0"/>
        <w:strike w:val="0"/>
        <w:dstrike w:val="0"/>
        <w:color w:val="000000"/>
        <w:sz w:val="17"/>
        <w:szCs w:val="17"/>
        <w:u w:val="none" w:color="000000"/>
        <w:bdr w:val="none" w:sz="0" w:space="0" w:color="auto"/>
        <w:shd w:val="clear" w:color="auto" w:fill="auto"/>
        <w:vertAlign w:val="baseline"/>
      </w:rPr>
    </w:lvl>
    <w:lvl w:ilvl="4" w:tplc="4DD2E2F4">
      <w:start w:val="1"/>
      <w:numFmt w:val="bullet"/>
      <w:lvlText w:val="o"/>
      <w:lvlJc w:val="left"/>
      <w:pPr>
        <w:ind w:left="3400"/>
      </w:pPr>
      <w:rPr>
        <w:rFonts w:ascii="Courier New" w:eastAsia="Courier New" w:hAnsi="Courier New" w:cs="Courier New"/>
        <w:b w:val="0"/>
        <w:i w:val="0"/>
        <w:strike w:val="0"/>
        <w:dstrike w:val="0"/>
        <w:color w:val="000000"/>
        <w:sz w:val="17"/>
        <w:szCs w:val="17"/>
        <w:u w:val="none" w:color="000000"/>
        <w:bdr w:val="none" w:sz="0" w:space="0" w:color="auto"/>
        <w:shd w:val="clear" w:color="auto" w:fill="auto"/>
        <w:vertAlign w:val="baseline"/>
      </w:rPr>
    </w:lvl>
    <w:lvl w:ilvl="5" w:tplc="32289B78">
      <w:start w:val="1"/>
      <w:numFmt w:val="bullet"/>
      <w:lvlText w:val="▪"/>
      <w:lvlJc w:val="left"/>
      <w:pPr>
        <w:ind w:left="4120"/>
      </w:pPr>
      <w:rPr>
        <w:rFonts w:ascii="Courier New" w:eastAsia="Courier New" w:hAnsi="Courier New" w:cs="Courier New"/>
        <w:b w:val="0"/>
        <w:i w:val="0"/>
        <w:strike w:val="0"/>
        <w:dstrike w:val="0"/>
        <w:color w:val="000000"/>
        <w:sz w:val="17"/>
        <w:szCs w:val="17"/>
        <w:u w:val="none" w:color="000000"/>
        <w:bdr w:val="none" w:sz="0" w:space="0" w:color="auto"/>
        <w:shd w:val="clear" w:color="auto" w:fill="auto"/>
        <w:vertAlign w:val="baseline"/>
      </w:rPr>
    </w:lvl>
    <w:lvl w:ilvl="6" w:tplc="E25213F4">
      <w:start w:val="1"/>
      <w:numFmt w:val="bullet"/>
      <w:lvlText w:val="•"/>
      <w:lvlJc w:val="left"/>
      <w:pPr>
        <w:ind w:left="4840"/>
      </w:pPr>
      <w:rPr>
        <w:rFonts w:ascii="Courier New" w:eastAsia="Courier New" w:hAnsi="Courier New" w:cs="Courier New"/>
        <w:b w:val="0"/>
        <w:i w:val="0"/>
        <w:strike w:val="0"/>
        <w:dstrike w:val="0"/>
        <w:color w:val="000000"/>
        <w:sz w:val="17"/>
        <w:szCs w:val="17"/>
        <w:u w:val="none" w:color="000000"/>
        <w:bdr w:val="none" w:sz="0" w:space="0" w:color="auto"/>
        <w:shd w:val="clear" w:color="auto" w:fill="auto"/>
        <w:vertAlign w:val="baseline"/>
      </w:rPr>
    </w:lvl>
    <w:lvl w:ilvl="7" w:tplc="F6F6D286">
      <w:start w:val="1"/>
      <w:numFmt w:val="bullet"/>
      <w:lvlText w:val="o"/>
      <w:lvlJc w:val="left"/>
      <w:pPr>
        <w:ind w:left="5560"/>
      </w:pPr>
      <w:rPr>
        <w:rFonts w:ascii="Courier New" w:eastAsia="Courier New" w:hAnsi="Courier New" w:cs="Courier New"/>
        <w:b w:val="0"/>
        <w:i w:val="0"/>
        <w:strike w:val="0"/>
        <w:dstrike w:val="0"/>
        <w:color w:val="000000"/>
        <w:sz w:val="17"/>
        <w:szCs w:val="17"/>
        <w:u w:val="none" w:color="000000"/>
        <w:bdr w:val="none" w:sz="0" w:space="0" w:color="auto"/>
        <w:shd w:val="clear" w:color="auto" w:fill="auto"/>
        <w:vertAlign w:val="baseline"/>
      </w:rPr>
    </w:lvl>
    <w:lvl w:ilvl="8" w:tplc="ED1CCAFE">
      <w:start w:val="1"/>
      <w:numFmt w:val="bullet"/>
      <w:lvlText w:val="▪"/>
      <w:lvlJc w:val="left"/>
      <w:pPr>
        <w:ind w:left="6280"/>
      </w:pPr>
      <w:rPr>
        <w:rFonts w:ascii="Courier New" w:eastAsia="Courier New" w:hAnsi="Courier New" w:cs="Courier New"/>
        <w:b w:val="0"/>
        <w:i w:val="0"/>
        <w:strike w:val="0"/>
        <w:dstrike w:val="0"/>
        <w:color w:val="000000"/>
        <w:sz w:val="17"/>
        <w:szCs w:val="17"/>
        <w:u w:val="none" w:color="000000"/>
        <w:bdr w:val="none" w:sz="0" w:space="0" w:color="auto"/>
        <w:shd w:val="clear" w:color="auto" w:fill="auto"/>
        <w:vertAlign w:val="baseline"/>
      </w:rPr>
    </w:lvl>
  </w:abstractNum>
  <w:abstractNum w:abstractNumId="1" w15:restartNumberingAfterBreak="0">
    <w:nsid w:val="35A66661"/>
    <w:multiLevelType w:val="hybridMultilevel"/>
    <w:tmpl w:val="F20A1714"/>
    <w:lvl w:ilvl="0" w:tplc="B3403614">
      <w:start w:val="1"/>
      <w:numFmt w:val="bullet"/>
      <w:lvlText w:val="•"/>
      <w:lvlJc w:val="left"/>
      <w:pPr>
        <w:ind w:left="132"/>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2764B384">
      <w:start w:val="1"/>
      <w:numFmt w:val="bullet"/>
      <w:lvlText w:val="o"/>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7F8A4002">
      <w:start w:val="1"/>
      <w:numFmt w:val="bullet"/>
      <w:lvlText w:val="▪"/>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0A42E808">
      <w:start w:val="1"/>
      <w:numFmt w:val="bullet"/>
      <w:lvlText w:val="•"/>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187CCCD2">
      <w:start w:val="1"/>
      <w:numFmt w:val="bullet"/>
      <w:lvlText w:val="o"/>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35A0AFB8">
      <w:start w:val="1"/>
      <w:numFmt w:val="bullet"/>
      <w:lvlText w:val="▪"/>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D468295E">
      <w:start w:val="1"/>
      <w:numFmt w:val="bullet"/>
      <w:lvlText w:val="•"/>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5F8295E6">
      <w:start w:val="1"/>
      <w:numFmt w:val="bullet"/>
      <w:lvlText w:val="o"/>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026AF86C">
      <w:start w:val="1"/>
      <w:numFmt w:val="bullet"/>
      <w:lvlText w:val="▪"/>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2" w15:restartNumberingAfterBreak="0">
    <w:nsid w:val="42950C11"/>
    <w:multiLevelType w:val="hybridMultilevel"/>
    <w:tmpl w:val="2BCA7360"/>
    <w:lvl w:ilvl="0" w:tplc="A95A9194">
      <w:start w:val="1"/>
      <w:numFmt w:val="bullet"/>
      <w:lvlText w:val="•"/>
      <w:lvlJc w:val="left"/>
      <w:pPr>
        <w:ind w:left="132"/>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59C42FF4">
      <w:start w:val="1"/>
      <w:numFmt w:val="bullet"/>
      <w:lvlText w:val="o"/>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32A2E94C">
      <w:start w:val="1"/>
      <w:numFmt w:val="bullet"/>
      <w:lvlText w:val="▪"/>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CE369572">
      <w:start w:val="1"/>
      <w:numFmt w:val="bullet"/>
      <w:lvlText w:val="•"/>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AD88B0AC">
      <w:start w:val="1"/>
      <w:numFmt w:val="bullet"/>
      <w:lvlText w:val="o"/>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3E02504C">
      <w:start w:val="1"/>
      <w:numFmt w:val="bullet"/>
      <w:lvlText w:val="▪"/>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FAC89148">
      <w:start w:val="1"/>
      <w:numFmt w:val="bullet"/>
      <w:lvlText w:val="•"/>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ED2E92C4">
      <w:start w:val="1"/>
      <w:numFmt w:val="bullet"/>
      <w:lvlText w:val="o"/>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F63AA7C6">
      <w:start w:val="1"/>
      <w:numFmt w:val="bullet"/>
      <w:lvlText w:val="▪"/>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3" w15:restartNumberingAfterBreak="0">
    <w:nsid w:val="50B2714F"/>
    <w:multiLevelType w:val="hybridMultilevel"/>
    <w:tmpl w:val="886AD82E"/>
    <w:lvl w:ilvl="0" w:tplc="F06E6E18">
      <w:start w:val="1"/>
      <w:numFmt w:val="decimal"/>
      <w:pStyle w:val="Heading1"/>
      <w:lvlText w:val="%1."/>
      <w:lvlJc w:val="left"/>
      <w:pPr>
        <w:ind w:left="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1" w:tplc="EA22C61A">
      <w:start w:val="1"/>
      <w:numFmt w:val="lowerLetter"/>
      <w:lvlText w:val="%2"/>
      <w:lvlJc w:val="left"/>
      <w:pPr>
        <w:ind w:left="108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2" w:tplc="8542A02A">
      <w:start w:val="1"/>
      <w:numFmt w:val="lowerRoman"/>
      <w:lvlText w:val="%3"/>
      <w:lvlJc w:val="left"/>
      <w:pPr>
        <w:ind w:left="180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3" w:tplc="DD6874B0">
      <w:start w:val="1"/>
      <w:numFmt w:val="decimal"/>
      <w:lvlText w:val="%4"/>
      <w:lvlJc w:val="left"/>
      <w:pPr>
        <w:ind w:left="252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4" w:tplc="F0521A3A">
      <w:start w:val="1"/>
      <w:numFmt w:val="lowerLetter"/>
      <w:lvlText w:val="%5"/>
      <w:lvlJc w:val="left"/>
      <w:pPr>
        <w:ind w:left="324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5" w:tplc="A64AE644">
      <w:start w:val="1"/>
      <w:numFmt w:val="lowerRoman"/>
      <w:lvlText w:val="%6"/>
      <w:lvlJc w:val="left"/>
      <w:pPr>
        <w:ind w:left="396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6" w:tplc="4AB0CD92">
      <w:start w:val="1"/>
      <w:numFmt w:val="decimal"/>
      <w:lvlText w:val="%7"/>
      <w:lvlJc w:val="left"/>
      <w:pPr>
        <w:ind w:left="468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7" w:tplc="E26A9782">
      <w:start w:val="1"/>
      <w:numFmt w:val="lowerLetter"/>
      <w:lvlText w:val="%8"/>
      <w:lvlJc w:val="left"/>
      <w:pPr>
        <w:ind w:left="540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8" w:tplc="ED161E0C">
      <w:start w:val="1"/>
      <w:numFmt w:val="lowerRoman"/>
      <w:lvlText w:val="%9"/>
      <w:lvlJc w:val="left"/>
      <w:pPr>
        <w:ind w:left="612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5A441FD3"/>
    <w:multiLevelType w:val="hybridMultilevel"/>
    <w:tmpl w:val="4C1E9D68"/>
    <w:lvl w:ilvl="0" w:tplc="37341262">
      <w:start w:val="1"/>
      <w:numFmt w:val="bullet"/>
      <w:lvlText w:val="•"/>
      <w:lvlJc w:val="left"/>
      <w:pPr>
        <w:ind w:left="132"/>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A604957E">
      <w:start w:val="1"/>
      <w:numFmt w:val="bullet"/>
      <w:lvlText w:val="o"/>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75E2FF78">
      <w:start w:val="1"/>
      <w:numFmt w:val="bullet"/>
      <w:lvlText w:val="▪"/>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552E50E8">
      <w:start w:val="1"/>
      <w:numFmt w:val="bullet"/>
      <w:lvlText w:val="•"/>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2F3426AE">
      <w:start w:val="1"/>
      <w:numFmt w:val="bullet"/>
      <w:lvlText w:val="o"/>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26C6D156">
      <w:start w:val="1"/>
      <w:numFmt w:val="bullet"/>
      <w:lvlText w:val="▪"/>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78F24154">
      <w:start w:val="1"/>
      <w:numFmt w:val="bullet"/>
      <w:lvlText w:val="•"/>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BA061BB4">
      <w:start w:val="1"/>
      <w:numFmt w:val="bullet"/>
      <w:lvlText w:val="o"/>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518A7414">
      <w:start w:val="1"/>
      <w:numFmt w:val="bullet"/>
      <w:lvlText w:val="▪"/>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num w:numId="1" w16cid:durableId="957835695">
    <w:abstractNumId w:val="1"/>
  </w:num>
  <w:num w:numId="2" w16cid:durableId="274800342">
    <w:abstractNumId w:val="4"/>
  </w:num>
  <w:num w:numId="3" w16cid:durableId="828129378">
    <w:abstractNumId w:val="2"/>
  </w:num>
  <w:num w:numId="4" w16cid:durableId="1990787859">
    <w:abstractNumId w:val="0"/>
  </w:num>
  <w:num w:numId="5" w16cid:durableId="15175707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5B46"/>
    <w:rsid w:val="003F6FCB"/>
    <w:rsid w:val="004719D5"/>
    <w:rsid w:val="004C5B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A5919"/>
  <w15:docId w15:val="{02A29AD6-1F4F-42A7-86DE-70996A23C1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5" w:line="259" w:lineRule="auto"/>
      <w:ind w:left="10" w:hanging="10"/>
    </w:pPr>
    <w:rPr>
      <w:rFonts w:ascii="Arial" w:eastAsia="Arial" w:hAnsi="Arial" w:cs="Arial"/>
      <w:color w:val="000000"/>
      <w:sz w:val="21"/>
    </w:rPr>
  </w:style>
  <w:style w:type="paragraph" w:styleId="Heading1">
    <w:name w:val="heading 1"/>
    <w:next w:val="Normal"/>
    <w:link w:val="Heading1Char"/>
    <w:uiPriority w:val="9"/>
    <w:qFormat/>
    <w:pPr>
      <w:keepNext/>
      <w:keepLines/>
      <w:numPr>
        <w:numId w:val="5"/>
      </w:numPr>
      <w:spacing w:after="82" w:line="259" w:lineRule="auto"/>
      <w:ind w:left="10" w:hanging="10"/>
      <w:outlineLvl w:val="0"/>
    </w:pPr>
    <w:rPr>
      <w:rFonts w:ascii="Arial" w:eastAsia="Arial" w:hAnsi="Arial" w:cs="Arial"/>
      <w:b/>
      <w:color w:val="000000"/>
      <w:sz w:val="28"/>
    </w:rPr>
  </w:style>
  <w:style w:type="paragraph" w:styleId="Heading2">
    <w:name w:val="heading 2"/>
    <w:next w:val="Normal"/>
    <w:link w:val="Heading2Char"/>
    <w:uiPriority w:val="9"/>
    <w:unhideWhenUsed/>
    <w:qFormat/>
    <w:pPr>
      <w:keepNext/>
      <w:keepLines/>
      <w:spacing w:after="199" w:line="259" w:lineRule="auto"/>
      <w:ind w:left="10" w:hanging="10"/>
      <w:outlineLvl w:val="1"/>
    </w:pPr>
    <w:rPr>
      <w:rFonts w:ascii="Arial" w:eastAsia="Arial" w:hAnsi="Arial" w:cs="Arial"/>
      <w:b/>
      <w:color w:val="000000"/>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1"/>
    </w:rPr>
  </w:style>
  <w:style w:type="character" w:customStyle="1" w:styleId="Heading1Char">
    <w:name w:val="Heading 1 Char"/>
    <w:link w:val="Heading1"/>
    <w:rPr>
      <w:rFonts w:ascii="Arial" w:eastAsia="Arial" w:hAnsi="Arial" w:cs="Arial"/>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905</Words>
  <Characters>5160</Characters>
  <Application>Microsoft Office Word</Application>
  <DocSecurity>0</DocSecurity>
  <Lines>43</Lines>
  <Paragraphs>12</Paragraphs>
  <ScaleCrop>false</ScaleCrop>
  <Company/>
  <LinksUpToDate>false</LinksUpToDate>
  <CharactersWithSpaces>6053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Ponnathota Swetha</dc:creator>
  <cp:keywords/>
  <cp:lastModifiedBy>Ponnathota Swetha</cp:lastModifiedBy>
  <cp:revision>2</cp:revision>
  <dcterms:created xsi:type="dcterms:W3CDTF">2026-09-26T17:23:00Z</dcterms:created>
  <dcterms:modified xsi:type="dcterms:W3CDTF">2026-09-26T17:23:00Z</dcterms:modified>
</cp:coreProperties>
</file>