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Guidelines for Merit-cum-Means Financial Aid &amp; Fellowship</w:t>
      </w:r>
    </w:p>
    <w:p>
      <w:r>
        <w:t>1. Eligibility: Candidates must maintain a minimum CGPA of 3.5 without any active backlogs.</w:t>
      </w:r>
    </w:p>
    <w:p>
      <w:r>
        <w:t>2. Income Verification: Parents' or guardian's annual income tax certificate or Tahsildar income certificate is mandatory.</w:t>
      </w:r>
    </w:p>
    <w:p>
      <w:r>
        <w:t>3. Disbursement: Scholarship amounts will be credited directly to the student's registered bank account in two equal installments.</w:t>
      </w:r>
    </w:p>
    <w:p>
      <w:r>
        <w:t>4. Renewal Process: Students must re-apply at the beginning of each academic semester.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