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Map</w:t>
      </w:r>
    </w:p>
    <w:p>
      <w:pPr>
        <w:pStyle w:val="Heading2"/>
      </w:pPr>
      <w:r>
        <w:t>Project</w:t>
      </w:r>
    </w:p>
    <w:p>
      <w:r>
        <w:t>Rising Water – AI-Based Flood Prediction System</w:t>
      </w:r>
    </w:p>
    <w:p>
      <w:pPr>
        <w:pStyle w:val="Heading2"/>
      </w:pPr>
      <w:r>
        <w:t>Awareness</w:t>
      </w:r>
    </w:p>
    <w:p>
      <w:r>
        <w:t>User hears about the flood prediction system through social media, local authorities, or community programs.</w:t>
      </w:r>
    </w:p>
    <w:p>
      <w:pPr>
        <w:pStyle w:val="Heading2"/>
      </w:pPr>
      <w:r>
        <w:t>Consideration</w:t>
      </w:r>
    </w:p>
    <w:p>
      <w:r>
        <w:t>User understands the benefits of receiving early flood predictions and decides to try the system.</w:t>
      </w:r>
    </w:p>
    <w:p>
      <w:pPr>
        <w:pStyle w:val="Heading2"/>
      </w:pPr>
      <w:r>
        <w:t>Usage</w:t>
      </w:r>
    </w:p>
    <w:p>
      <w:r>
        <w:t>User enters environmental parameters into the application and receives flood probability with a risk level.</w:t>
      </w:r>
    </w:p>
    <w:p>
      <w:pPr>
        <w:pStyle w:val="Heading2"/>
      </w:pPr>
      <w:r>
        <w:t>Decision</w:t>
      </w:r>
    </w:p>
    <w:p>
      <w:r>
        <w:t>User takes preventive actions such as protecting property, moving valuables, or evacuating if required.</w:t>
      </w:r>
    </w:p>
    <w:p>
      <w:pPr>
        <w:pStyle w:val="Heading2"/>
      </w:pPr>
      <w:r>
        <w:t>Outcome</w:t>
      </w:r>
    </w:p>
    <w:p>
      <w:r>
        <w:t>User experiences reduced losses, improved safety, and increased confidence in disaster preparedness.</w:t>
      </w:r>
    </w:p>
    <w:p>
      <w:pPr>
        <w:pStyle w:val="Heading2"/>
      </w:pPr>
      <w:r>
        <w:t>Pain Points</w:t>
      </w:r>
    </w:p>
    <w:p>
      <w:pPr>
        <w:pStyle w:val="ListBullet"/>
      </w:pPr>
      <w:r>
        <w:t>Late disaster warnings</w:t>
      </w:r>
    </w:p>
    <w:p>
      <w:pPr>
        <w:pStyle w:val="ListBullet"/>
      </w:pPr>
      <w:r>
        <w:t>Limited access to prediction tools</w:t>
      </w:r>
    </w:p>
    <w:p>
      <w:pPr>
        <w:pStyle w:val="ListBullet"/>
      </w:pPr>
      <w:r>
        <w:t>Property and crop damage</w:t>
      </w:r>
    </w:p>
    <w:p>
      <w:pPr>
        <w:pStyle w:val="ListBullet"/>
      </w:pPr>
      <w:r>
        <w:t>Lack of preparedness</w:t>
      </w:r>
    </w:p>
    <w:p>
      <w:pPr>
        <w:pStyle w:val="Heading2"/>
      </w:pPr>
      <w:r>
        <w:t>Opportunities</w:t>
      </w:r>
    </w:p>
    <w:p>
      <w:pPr>
        <w:pStyle w:val="ListBullet"/>
      </w:pPr>
      <w:r>
        <w:t>Provide accurate early predictions</w:t>
      </w:r>
    </w:p>
    <w:p>
      <w:pPr>
        <w:pStyle w:val="ListBullet"/>
      </w:pPr>
      <w:r>
        <w:t>Improve community awareness</w:t>
      </w:r>
    </w:p>
    <w:p>
      <w:pPr>
        <w:pStyle w:val="ListBullet"/>
      </w:pPr>
      <w:r>
        <w:t>Reduce economic losses</w:t>
      </w:r>
    </w:p>
    <w:p>
      <w:pPr>
        <w:pStyle w:val="ListBullet"/>
      </w:pPr>
      <w:r>
        <w:t>Support disaster management authorities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