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Layout, Readability &amp; Reusability</w:t>
      </w:r>
    </w:p>
    <w:p>
      <w:r>
        <w:t>Project: Rising Water – AI-Based Flood Prediction System</w:t>
      </w:r>
    </w:p>
    <w:p>
      <w:pPr>
        <w:pStyle w:val="Heading2"/>
      </w:pPr>
      <w:r>
        <w:t>1. Project Structure</w:t>
      </w:r>
    </w:p>
    <w:p>
      <w:r>
        <w:t>The project follows a modular folder structure:</w:t>
        <w:br/>
        <w:t>- app.py</w:t>
        <w:br/>
        <w:t>- dataset/</w:t>
        <w:br/>
        <w:t>- models/</w:t>
        <w:br/>
        <w:t>- templates/</w:t>
        <w:br/>
        <w:t>- static/</w:t>
        <w:br/>
        <w:t>- Project Documentation/</w:t>
      </w:r>
    </w:p>
    <w:p>
      <w:pPr>
        <w:pStyle w:val="Heading2"/>
      </w:pPr>
      <w:r>
        <w:t>2. Coding Standards</w:t>
      </w:r>
    </w:p>
    <w:p>
      <w:pPr>
        <w:pStyle w:val="ListBullet"/>
      </w:pPr>
      <w:r>
        <w:t>Meaningful variable and function names</w:t>
      </w:r>
    </w:p>
    <w:p>
      <w:pPr>
        <w:pStyle w:val="ListBullet"/>
      </w:pPr>
      <w:r>
        <w:t>Consistent indentation (PEP 8)</w:t>
      </w:r>
    </w:p>
    <w:p>
      <w:pPr>
        <w:pStyle w:val="ListBullet"/>
      </w:pPr>
      <w:r>
        <w:t>Modular functions</w:t>
      </w:r>
    </w:p>
    <w:p>
      <w:pPr>
        <w:pStyle w:val="ListBullet"/>
      </w:pPr>
      <w:r>
        <w:t>Proper exception handling</w:t>
      </w:r>
    </w:p>
    <w:p>
      <w:pPr>
        <w:pStyle w:val="ListBullet"/>
      </w:pPr>
      <w:r>
        <w:t>Readable code formatting</w:t>
      </w:r>
    </w:p>
    <w:p>
      <w:pPr>
        <w:pStyle w:val="Heading2"/>
      </w:pPr>
      <w:r>
        <w:t>3. Readability</w:t>
      </w:r>
    </w:p>
    <w:p>
      <w:r>
        <w:t>The application is divided into frontend, backend, model, and dataset components. Clear naming conventions and comments improve readability and maintenance.</w:t>
      </w:r>
    </w:p>
    <w:p>
      <w:pPr>
        <w:pStyle w:val="Heading2"/>
      </w:pPr>
      <w:r>
        <w:t>4. Reusability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Reuse</w:t>
            </w:r>
          </w:p>
        </w:tc>
      </w:tr>
      <w:tr>
        <w:tc>
          <w:tcPr>
            <w:tcW w:type="dxa" w:w="4320"/>
          </w:tcPr>
          <w:p>
            <w:r>
              <w:t>Flask Routes</w:t>
            </w:r>
          </w:p>
        </w:tc>
        <w:tc>
          <w:tcPr>
            <w:tcW w:type="dxa" w:w="4320"/>
          </w:tcPr>
          <w:p>
            <w:r>
              <w:t>Can be extended with additional pages</w:t>
            </w:r>
          </w:p>
        </w:tc>
      </w:tr>
      <w:tr>
        <w:tc>
          <w:tcPr>
            <w:tcW w:type="dxa" w:w="4320"/>
          </w:tcPr>
          <w:p>
            <w:r>
              <w:t>XGBoost Model</w:t>
            </w:r>
          </w:p>
        </w:tc>
        <w:tc>
          <w:tcPr>
            <w:tcW w:type="dxa" w:w="4320"/>
          </w:tcPr>
          <w:p>
            <w:r>
              <w:t>Can be retrained with new datasets</w:t>
            </w:r>
          </w:p>
        </w:tc>
      </w:tr>
      <w:tr>
        <w:tc>
          <w:tcPr>
            <w:tcW w:type="dxa" w:w="4320"/>
          </w:tcPr>
          <w:p>
            <w:r>
              <w:t>Scaler</w:t>
            </w:r>
          </w:p>
        </w:tc>
        <w:tc>
          <w:tcPr>
            <w:tcW w:type="dxa" w:w="4320"/>
          </w:tcPr>
          <w:p>
            <w:r>
              <w:t>Reusable for future predictions</w:t>
            </w:r>
          </w:p>
        </w:tc>
      </w:tr>
      <w:tr>
        <w:tc>
          <w:tcPr>
            <w:tcW w:type="dxa" w:w="4320"/>
          </w:tcPr>
          <w:p>
            <w:r>
              <w:t>HTML Template</w:t>
            </w:r>
          </w:p>
        </w:tc>
        <w:tc>
          <w:tcPr>
            <w:tcW w:type="dxa" w:w="4320"/>
          </w:tcPr>
          <w:p>
            <w:r>
              <w:t>Easy to customize</w:t>
            </w:r>
          </w:p>
        </w:tc>
      </w:tr>
      <w:tr>
        <w:tc>
          <w:tcPr>
            <w:tcW w:type="dxa" w:w="4320"/>
          </w:tcPr>
          <w:p>
            <w:r>
              <w:t>CSS</w:t>
            </w:r>
          </w:p>
        </w:tc>
        <w:tc>
          <w:tcPr>
            <w:tcW w:type="dxa" w:w="4320"/>
          </w:tcPr>
          <w:p>
            <w:r>
              <w:t>Reusable across pages</w:t>
            </w:r>
          </w:p>
        </w:tc>
      </w:tr>
    </w:tbl>
    <w:p>
      <w:pPr>
        <w:pStyle w:val="Heading2"/>
      </w:pPr>
      <w:r>
        <w:t>5. Best Practices</w:t>
      </w:r>
    </w:p>
    <w:p>
      <w:pPr>
        <w:pStyle w:val="ListBullet"/>
      </w:pPr>
      <w:r>
        <w:t>Separate frontend and backend</w:t>
      </w:r>
    </w:p>
    <w:p>
      <w:pPr>
        <w:pStyle w:val="ListBullet"/>
      </w:pPr>
      <w:r>
        <w:t>Store trained model in models folder</w:t>
      </w:r>
    </w:p>
    <w:p>
      <w:pPr>
        <w:pStyle w:val="ListBullet"/>
      </w:pPr>
      <w:r>
        <w:t>Keep reusable styling in CSS</w:t>
      </w:r>
    </w:p>
    <w:p>
      <w:pPr>
        <w:pStyle w:val="ListBullet"/>
      </w:pPr>
      <w:r>
        <w:t>Document code clearly</w:t>
      </w:r>
    </w:p>
    <w:p>
      <w:pPr>
        <w:pStyle w:val="ListBullet"/>
      </w:pPr>
      <w:r>
        <w:t>Use version control with GitHub</w:t>
      </w:r>
    </w:p>
    <w:p>
      <w:pPr>
        <w:pStyle w:val="Heading2"/>
      </w:pPr>
      <w:r>
        <w:t>6. Conclusion</w:t>
      </w:r>
    </w:p>
    <w:p>
      <w:r>
        <w:t>The Rising Water project is organized using a clean and maintainable architecture, making the code easy to understand, reuse, and extend.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