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STERLING LEGAL PARTNERS</w:t>
      </w:r>
    </w:p>
    <w:p>
      <w:r>
        <w:t>CONTRACT REVIEW SAMPLE</w:t>
      </w:r>
    </w:p>
    <w:p>
      <w:r>
        <w:t>Risk Scenario: No termination clause</w:t>
      </w:r>
    </w:p>
    <w:p>
      <w:r>
        <w:t>Employment Agreement between Sterling Legal Partners and Jordan Smith.</w:t>
        <w:br/>
        <w:t>Effective Date: March 1, 2026.</w:t>
        <w:br/>
        <w:t>Role: Contract Analyst.</w:t>
        <w:br/>
        <w:t>Compensation: Annual salary and benefits.</w:t>
        <w:br/>
        <w:t>Payment Terms: Semi-monthly payroll.</w:t>
        <w:br/>
        <w:t>Governing Law: State of California.</w:t>
        <w:br/>
        <w:t>Responsibilities include contract review, risk analysis, and compliance support.</w:t>
      </w:r>
    </w:p>
    <w:p>
      <w:r>
        <w:br w:type="page"/>
      </w:r>
    </w:p>
    <w:p>
      <w:r>
        <w:t>This second page is included to simulate a realistic contract document for AI analysis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