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STERLING LEGAL PARTNERS</w:t>
      </w:r>
    </w:p>
    <w:p>
      <w:r>
        <w:t>CONTRACT REVIEW SAMPLE</w:t>
      </w:r>
    </w:p>
    <w:p>
      <w:r>
        <w:t>Risk Scenario: Weak confidentiality period</w:t>
      </w:r>
    </w:p>
    <w:p>
      <w:r>
        <w:t>Non-Disclosure Agreement between Sterling Legal Partners and Insight Consulting.</w:t>
        <w:br/>
        <w:t>Effective Date: April 1, 2026.</w:t>
        <w:br/>
        <w:t>Scope: Sharing of confidential business information.</w:t>
        <w:br/>
        <w:t>Confidentiality obligations expire twelve months after execution.</w:t>
        <w:br/>
        <w:t>Governing Law: State of Texas.</w:t>
        <w:br/>
        <w:t>Payment Terms: Not applicable.</w:t>
      </w:r>
    </w:p>
    <w:p>
      <w:r>
        <w:br w:type="page"/>
      </w:r>
    </w:p>
    <w:p>
      <w:r>
        <w:t>This second page is included to simulate a realistic contract document for AI analysis and RAG ingestion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