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STERLING LEGAL PARTNERS</w:t>
      </w:r>
    </w:p>
    <w:p>
      <w:r>
        <w:t>CONTRACT REVIEW SAMPLE</w:t>
      </w:r>
    </w:p>
    <w:p>
      <w:r>
        <w:t>Risk Scenario: Data protection concerns</w:t>
      </w:r>
    </w:p>
    <w:p>
      <w:r>
        <w:t>Software-as-a-Service Agreement between Sterling Legal Partners and CloudNova Systems.</w:t>
        <w:br/>
        <w:t>Effective Date: May 1, 2026.</w:t>
        <w:br/>
        <w:t>Scope: Cloud-hosted contract management platform.</w:t>
        <w:br/>
        <w:t>Payment Terms: Annual subscription.</w:t>
        <w:br/>
        <w:t>Vendor may store customer data in any location and is not required to notify customer of security incidents.</w:t>
        <w:br/>
        <w:t>Governing Law: State of Washington.</w:t>
      </w:r>
    </w:p>
    <w:p>
      <w:r>
        <w:br w:type="page"/>
      </w:r>
    </w:p>
    <w:p>
      <w:r>
        <w:t>This second page is included to simulate a realistic contract document for AI analysis and RAG ingestion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