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STERLING LEGAL PARTNERS</w:t>
      </w:r>
    </w:p>
    <w:p>
      <w:r>
        <w:t>CONTRACT REVIEW SAMPLE</w:t>
      </w:r>
    </w:p>
    <w:p>
      <w:r>
        <w:t>Risk Scenario: Long payment window</w:t>
      </w:r>
    </w:p>
    <w:p>
      <w:r>
        <w:t>Service Agreement between Sterling Legal Partners and Prime Advisory Group.</w:t>
        <w:br/>
        <w:t>Effective Date: June 1, 2026.</w:t>
        <w:br/>
        <w:t>Scope: Business consulting services.</w:t>
        <w:br/>
        <w:t>Invoices shall be paid within 180 days.</w:t>
        <w:br/>
        <w:t>Governing Law: State of Florida.</w:t>
        <w:br/>
        <w:t>Additional Provisions: Monthly progress reports required.</w:t>
      </w:r>
    </w:p>
    <w:p>
      <w:r>
        <w:br w:type="page"/>
      </w:r>
    </w:p>
    <w:p>
      <w:r>
        <w:t>This second page is included to simulate a realistic contract document for AI analysis and RAG ingestion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