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STERLING LEGAL PARTNERS</w:t>
      </w:r>
    </w:p>
    <w:p>
      <w:r>
        <w:t>CONTRACT REVIEW SAMPLE</w:t>
      </w:r>
    </w:p>
    <w:p>
      <w:r>
        <w:t>Risk Scenario: High-risk auto renewal</w:t>
      </w:r>
    </w:p>
    <w:p>
      <w:r>
        <w:t>This Vendor Agreement is entered into between Sterling Legal Partners and Apex Office Solutions.</w:t>
        <w:br/>
        <w:t>Effective Date: January 1, 2026.</w:t>
        <w:br/>
        <w:t>Scope: Vendor will provide office equipment and maintenance services.</w:t>
        <w:br/>
        <w:t>Payment Terms: Net 30 days.</w:t>
        <w:br/>
        <w:t>Governing Law: State of Illinois.</w:t>
        <w:br/>
        <w:t>Term: This agreement automatically renews for successive five-year terms unless terminated in writing within 30 days prior to renewal.</w:t>
        <w:br/>
        <w:t>Additional Provisions: Both parties agree to cooperate in good faith and maintain accurate records.</w:t>
      </w:r>
    </w:p>
    <w:p>
      <w:r>
        <w:br w:type="page"/>
      </w:r>
    </w:p>
    <w:p>
      <w:r>
        <w:t>This second page is included to simulate a realistic contract document for AI analysis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