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STERLING LEGAL PARTNERS</w:t>
      </w:r>
    </w:p>
    <w:p>
      <w:r>
        <w:t>CONTRACT REVIEW SAMPLE</w:t>
      </w:r>
    </w:p>
    <w:p>
      <w:r>
        <w:t>Risk Scenario: Unlimited liability</w:t>
      </w:r>
    </w:p>
    <w:p>
      <w:r>
        <w:t>This Vendor Agreement is entered into between Sterling Legal Partners and Orion Technology Services.</w:t>
        <w:br/>
        <w:t>Effective Date: February 1, 2026.</w:t>
        <w:br/>
        <w:t>Scope: Software support and maintenance.</w:t>
        <w:br/>
        <w:t>Payment Terms: Net 45 days.</w:t>
        <w:br/>
        <w:t>Governing Law: State of New York.</w:t>
        <w:br/>
        <w:t>Liability: Vendor shall be liable for all damages, losses, and expenses arising under this agreement without limitation.</w:t>
        <w:br/>
        <w:t>Additional Provisions: Service levels shall be reviewed quarterly.</w:t>
      </w:r>
    </w:p>
    <w:p>
      <w:r>
        <w:br w:type="page"/>
      </w:r>
    </w:p>
    <w:p>
      <w:r>
        <w:t>This second page is included to simulate a realistic contract document for AI analysis and RAG ingestion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