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6"/>
        </w:rPr>
        <w:t>Swiftora Brand Guidelines</w:t>
      </w:r>
    </w:p>
    <w:p>
      <w:r>
        <w:rPr>
          <w:color w:val="666666"/>
          <w:sz w:val="24"/>
        </w:rPr>
        <w:t>v1.0 (Internal)</w:t>
        <w:br/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303520" cy="5349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ftora_logo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4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document defines the core brand assets and usage rules for Swiftora across product UI, marketing, and developer-facing materials.</w:t>
      </w:r>
    </w:p>
    <w:p>
      <w:r>
        <w:br w:type="page"/>
      </w:r>
    </w:p>
    <w:p>
      <w:pPr>
        <w:pStyle w:val="Heading1"/>
      </w:pPr>
      <w:r>
        <w:t>1. Brand Essentials</w:t>
      </w:r>
    </w:p>
    <w:p>
      <w:r>
        <w:rPr>
          <w:b/>
        </w:rPr>
        <w:t xml:space="preserve">Positioning: </w:t>
      </w:r>
      <w:r>
        <w:t>AI-powered productivity platform for resellers; photo-to-listing workflow with evidence-based pricing and confidence signals.</w:t>
      </w:r>
    </w:p>
    <w:p>
      <w:r>
        <w:rPr>
          <w:b/>
        </w:rPr>
        <w:t xml:space="preserve">Voice &amp; tone: </w:t>
      </w:r>
      <w:r>
        <w:t>Clear, seller-first, no hype; short, scannable copy.</w:t>
      </w:r>
    </w:p>
    <w:p>
      <w:pPr>
        <w:pStyle w:val="Heading1"/>
      </w:pPr>
      <w:r>
        <w:t>2. Logo System</w:t>
      </w:r>
    </w:p>
    <w:p>
      <w:r>
        <w:t>Primary logo assets included in this repo/files:</w:t>
      </w:r>
    </w:p>
    <w:p>
      <w:pPr>
        <w:pStyle w:val="ListBullet"/>
      </w:pPr>
      <w:r>
        <w:t>Primary lockup: icon + wordmark (horizontal)</w:t>
      </w:r>
    </w:p>
    <w:p>
      <w:pPr>
        <w:pStyle w:val="ListBullet"/>
      </w:pPr>
      <w:r>
        <w:t>Icon-only: circuit icon with 'AI' corner</w:t>
      </w:r>
    </w:p>
    <w:p>
      <w:pPr>
        <w:pStyle w:val="ListBullet"/>
      </w:pPr>
      <w:r>
        <w:t>Wordmark-only: “Swiftora”</w:t>
      </w:r>
    </w:p>
    <w:p>
      <w:pPr>
        <w:pStyle w:val="Heading2"/>
      </w:pPr>
      <w:r>
        <w:t>2.1 Logo Variants</w:t>
      </w:r>
    </w:p>
    <w:p>
      <w:r>
        <w:t>Use the primary lockup whenever space permits. Use the icon-only version for app icons, favicons, and tight spaces.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Primary lockup</w:t>
            </w:r>
          </w:p>
        </w:tc>
        <w:tc>
          <w:tcPr>
            <w:tcW w:type="dxa" w:w="3120"/>
          </w:tcPr>
          <w:p>
            <w:r>
              <w:t>Icon-only</w:t>
            </w:r>
          </w:p>
        </w:tc>
        <w:tc>
          <w:tcPr>
            <w:tcW w:type="dxa" w:w="3120"/>
          </w:tcPr>
          <w:p>
            <w:r>
              <w:t>Wordmark-only</w:t>
            </w:r>
          </w:p>
        </w:tc>
      </w:tr>
      <w:tr>
        <w:tc>
          <w:tcPr>
            <w:tcW w:type="dxa" w:w="3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20290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ftora_logo_locku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29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30595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ftora_logo_ic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059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9893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ftora_logo_wordm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989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2.2 Clear Space (Minimum Margin)</w:t>
      </w:r>
    </w:p>
    <w:p>
      <w:r>
        <w:t>Maintain clear space around the logo so it never feels cramped or visually collides with other elements.</w:t>
      </w:r>
    </w:p>
    <w:p>
      <w:r>
        <w:t>Rule: minimum clear space = X, where X = 25% of the icon width. Apply X on all sides of the lockup or icon. Do not place other text, buttons, or edges inside this area.</w:t>
      </w:r>
    </w:p>
    <w:p>
      <w:pPr>
        <w:pStyle w:val="Heading2"/>
      </w:pPr>
      <w:r>
        <w:t>2.3 Minimum Size</w:t>
      </w:r>
    </w:p>
    <w:p>
      <w:r>
        <w:t>Recommended minimum sizes (until validated in UI/print testing):</w:t>
      </w:r>
    </w:p>
    <w:p>
      <w:pPr>
        <w:pStyle w:val="ListBullet"/>
      </w:pPr>
      <w:r>
        <w:t>Primary lockup: 32 px height (digital) / 0.35 in height (print)</w:t>
      </w:r>
    </w:p>
    <w:p>
      <w:pPr>
        <w:pStyle w:val="ListBullet"/>
      </w:pPr>
      <w:r>
        <w:t>Icon-only: 24 px height (digital) / 0.25 in height (print)</w:t>
      </w:r>
    </w:p>
    <w:p>
      <w:pPr>
        <w:pStyle w:val="ListBullet"/>
      </w:pPr>
      <w:r>
        <w:t>Favicon: simplified icon-only at 16–32 px</w:t>
      </w:r>
    </w:p>
    <w:p>
      <w:pPr>
        <w:pStyle w:val="Heading2"/>
      </w:pPr>
      <w:r>
        <w:t>2.4 Do / Don’t</w:t>
      </w:r>
    </w:p>
    <w:p>
      <w:r>
        <w:t>Do:</w:t>
      </w:r>
    </w:p>
    <w:p>
      <w:pPr>
        <w:pStyle w:val="ListBullet"/>
      </w:pPr>
      <w:r>
        <w:t>Use original proportions; scale uniformly.</w:t>
      </w:r>
    </w:p>
    <w:p>
      <w:pPr>
        <w:pStyle w:val="ListBullet"/>
      </w:pPr>
      <w:r>
        <w:t>Use high-contrast placement; prefer solid backgrounds.</w:t>
      </w:r>
    </w:p>
    <w:p>
      <w:pPr>
        <w:pStyle w:val="ListBullet"/>
      </w:pPr>
      <w:r>
        <w:t>Use icon-only for app icon, avatar, and small placements.</w:t>
      </w:r>
    </w:p>
    <w:p>
      <w:r>
        <w:t>Don’t:</w:t>
      </w:r>
    </w:p>
    <w:p>
      <w:pPr>
        <w:pStyle w:val="ListBullet"/>
      </w:pPr>
      <w:r>
        <w:t>Stretch, skew, rotate, or add effects (shadows/glows) to the logo.</w:t>
      </w:r>
    </w:p>
    <w:p>
      <w:pPr>
        <w:pStyle w:val="ListBullet"/>
      </w:pPr>
      <w:r>
        <w:t>Recolor parts of the logo outside approved variants.</w:t>
      </w:r>
    </w:p>
    <w:p>
      <w:pPr>
        <w:pStyle w:val="ListBullet"/>
      </w:pPr>
      <w:r>
        <w:t>Place on busy imagery without sufficient contrast or a container.</w:t>
      </w:r>
    </w:p>
    <w:p>
      <w:r>
        <w:br w:type="page"/>
      </w:r>
    </w:p>
    <w:p>
      <w:pPr>
        <w:pStyle w:val="Heading1"/>
      </w:pPr>
      <w:r>
        <w:t>3. Color System</w:t>
      </w:r>
    </w:p>
    <w:p>
      <w:r>
        <w:t>Core design tokens (light/dark) and brand colors. Use these values in CSS variables and design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Swatch</w:t>
            </w:r>
          </w:p>
        </w:tc>
        <w:tc>
          <w:tcPr>
            <w:tcW w:type="dxa" w:w="1872"/>
          </w:tcPr>
          <w:p>
            <w:r>
              <w:t>Name</w:t>
            </w:r>
          </w:p>
        </w:tc>
        <w:tc>
          <w:tcPr>
            <w:tcW w:type="dxa" w:w="1872"/>
          </w:tcPr>
          <w:p>
            <w:r>
              <w:t>HEX</w:t>
            </w:r>
          </w:p>
        </w:tc>
        <w:tc>
          <w:tcPr>
            <w:tcW w:type="dxa" w:w="1872"/>
          </w:tcPr>
          <w:p>
            <w:r>
              <w:t>RGB</w:t>
            </w:r>
          </w:p>
        </w:tc>
        <w:tc>
          <w:tcPr>
            <w:tcW w:type="dxa" w:w="1872"/>
          </w:tcPr>
          <w:p>
            <w:r>
              <w:t>Primary usage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Brand_Oran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Brand Orange</w:t>
            </w:r>
          </w:p>
        </w:tc>
        <w:tc>
          <w:tcPr>
            <w:tcW w:type="dxa" w:w="1872"/>
          </w:tcPr>
          <w:p>
            <w:r>
              <w:t>#FF6B35</w:t>
            </w:r>
          </w:p>
        </w:tc>
        <w:tc>
          <w:tcPr>
            <w:tcW w:type="dxa" w:w="1872"/>
          </w:tcPr>
          <w:p>
            <w:r>
              <w:t>255,107,53</w:t>
            </w:r>
          </w:p>
        </w:tc>
        <w:tc>
          <w:tcPr>
            <w:tcW w:type="dxa" w:w="1872"/>
          </w:tcPr>
          <w:p>
            <w:r>
              <w:t>Primary actions, highlights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Brand_Viol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Brand Violet</w:t>
            </w:r>
          </w:p>
        </w:tc>
        <w:tc>
          <w:tcPr>
            <w:tcW w:type="dxa" w:w="1872"/>
          </w:tcPr>
          <w:p>
            <w:r>
              <w:t>#6C63FF</w:t>
            </w:r>
          </w:p>
        </w:tc>
        <w:tc>
          <w:tcPr>
            <w:tcW w:type="dxa" w:w="1872"/>
          </w:tcPr>
          <w:p>
            <w:r>
              <w:t>108,99,255</w:t>
            </w:r>
          </w:p>
        </w:tc>
        <w:tc>
          <w:tcPr>
            <w:tcW w:type="dxa" w:w="1872"/>
          </w:tcPr>
          <w:p>
            <w:r>
              <w:t>Accents, links, focus states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Logo_Purp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Logo Purple</w:t>
            </w:r>
          </w:p>
        </w:tc>
        <w:tc>
          <w:tcPr>
            <w:tcW w:type="dxa" w:w="1872"/>
          </w:tcPr>
          <w:p>
            <w:r>
              <w:t>#372952</w:t>
            </w:r>
          </w:p>
        </w:tc>
        <w:tc>
          <w:tcPr>
            <w:tcW w:type="dxa" w:w="1872"/>
          </w:tcPr>
          <w:p>
            <w:r>
              <w:t>55,41,82</w:t>
            </w:r>
          </w:p>
        </w:tc>
        <w:tc>
          <w:tcPr>
            <w:tcW w:type="dxa" w:w="1872"/>
          </w:tcPr>
          <w:p>
            <w:r>
              <w:t>Wordmark/brand type color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Tex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Text</w:t>
            </w:r>
          </w:p>
        </w:tc>
        <w:tc>
          <w:tcPr>
            <w:tcW w:type="dxa" w:w="1872"/>
          </w:tcPr>
          <w:p>
            <w:r>
              <w:t>#111111</w:t>
            </w:r>
          </w:p>
        </w:tc>
        <w:tc>
          <w:tcPr>
            <w:tcW w:type="dxa" w:w="1872"/>
          </w:tcPr>
          <w:p>
            <w:r>
              <w:t>17,17,17</w:t>
            </w:r>
          </w:p>
        </w:tc>
        <w:tc>
          <w:tcPr>
            <w:tcW w:type="dxa" w:w="1872"/>
          </w:tcPr>
          <w:p>
            <w:r>
              <w:t>Primary text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Mut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Muted</w:t>
            </w:r>
          </w:p>
        </w:tc>
        <w:tc>
          <w:tcPr>
            <w:tcW w:type="dxa" w:w="1872"/>
          </w:tcPr>
          <w:p>
            <w:r>
              <w:t>#666666</w:t>
            </w:r>
          </w:p>
        </w:tc>
        <w:tc>
          <w:tcPr>
            <w:tcW w:type="dxa" w:w="1872"/>
          </w:tcPr>
          <w:p>
            <w:r>
              <w:t>102,102,102</w:t>
            </w:r>
          </w:p>
        </w:tc>
        <w:tc>
          <w:tcPr>
            <w:tcW w:type="dxa" w:w="1872"/>
          </w:tcPr>
          <w:p>
            <w:r>
              <w:t>Secondary text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Backgroun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Background</w:t>
            </w:r>
          </w:p>
        </w:tc>
        <w:tc>
          <w:tcPr>
            <w:tcW w:type="dxa" w:w="1872"/>
          </w:tcPr>
          <w:p>
            <w:r>
              <w:t>#FFFFFF</w:t>
            </w:r>
          </w:p>
        </w:tc>
        <w:tc>
          <w:tcPr>
            <w:tcW w:type="dxa" w:w="1872"/>
          </w:tcPr>
          <w:p>
            <w:r>
              <w:t>255,255,255</w:t>
            </w:r>
          </w:p>
        </w:tc>
        <w:tc>
          <w:tcPr>
            <w:tcW w:type="dxa" w:w="1872"/>
          </w:tcPr>
          <w:p>
            <w:r>
              <w:t>App background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Surfac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Surface</w:t>
            </w:r>
          </w:p>
        </w:tc>
        <w:tc>
          <w:tcPr>
            <w:tcW w:type="dxa" w:w="1872"/>
          </w:tcPr>
          <w:p>
            <w:r>
              <w:t>#F7F7F8</w:t>
            </w:r>
          </w:p>
        </w:tc>
        <w:tc>
          <w:tcPr>
            <w:tcW w:type="dxa" w:w="1872"/>
          </w:tcPr>
          <w:p>
            <w:r>
              <w:t>247,247,248</w:t>
            </w:r>
          </w:p>
        </w:tc>
        <w:tc>
          <w:tcPr>
            <w:tcW w:type="dxa" w:w="1872"/>
          </w:tcPr>
          <w:p>
            <w:r>
              <w:t>Cards, panels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Strok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Stroke</w:t>
            </w:r>
          </w:p>
        </w:tc>
        <w:tc>
          <w:tcPr>
            <w:tcW w:type="dxa" w:w="1872"/>
          </w:tcPr>
          <w:p>
            <w:r>
              <w:t>#E5E7EB</w:t>
            </w:r>
          </w:p>
        </w:tc>
        <w:tc>
          <w:tcPr>
            <w:tcW w:type="dxa" w:w="1872"/>
          </w:tcPr>
          <w:p>
            <w:r>
              <w:t>229,231,235</w:t>
            </w:r>
          </w:p>
        </w:tc>
        <w:tc>
          <w:tcPr>
            <w:tcW w:type="dxa" w:w="1872"/>
          </w:tcPr>
          <w:p>
            <w:r>
              <w:t>Borders, dividers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Hero_Dark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Hero Dark</w:t>
            </w:r>
          </w:p>
        </w:tc>
        <w:tc>
          <w:tcPr>
            <w:tcW w:type="dxa" w:w="1872"/>
          </w:tcPr>
          <w:p>
            <w:r>
              <w:t>#140415</w:t>
            </w:r>
          </w:p>
        </w:tc>
        <w:tc>
          <w:tcPr>
            <w:tcW w:type="dxa" w:w="1872"/>
          </w:tcPr>
          <w:p>
            <w:r>
              <w:t>20,4,21</w:t>
            </w:r>
          </w:p>
        </w:tc>
        <w:tc>
          <w:tcPr>
            <w:tcW w:type="dxa" w:w="1872"/>
          </w:tcPr>
          <w:p>
            <w:r>
              <w:t>Hero gradient base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Hero_Maro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Hero Maroon</w:t>
            </w:r>
          </w:p>
        </w:tc>
        <w:tc>
          <w:tcPr>
            <w:tcW w:type="dxa" w:w="1872"/>
          </w:tcPr>
          <w:p>
            <w:r>
              <w:t>#5B182B</w:t>
            </w:r>
          </w:p>
        </w:tc>
        <w:tc>
          <w:tcPr>
            <w:tcW w:type="dxa" w:w="1872"/>
          </w:tcPr>
          <w:p>
            <w:r>
              <w:t>91,24,43</w:t>
            </w:r>
          </w:p>
        </w:tc>
        <w:tc>
          <w:tcPr>
            <w:tcW w:type="dxa" w:w="1872"/>
          </w:tcPr>
          <w:p>
            <w:r>
              <w:t>Hero gradient mid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Hero_Highligh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Hero Highlight</w:t>
            </w:r>
          </w:p>
        </w:tc>
        <w:tc>
          <w:tcPr>
            <w:tcW w:type="dxa" w:w="1872"/>
          </w:tcPr>
          <w:p>
            <w:r>
              <w:t>#EF873E</w:t>
            </w:r>
          </w:p>
        </w:tc>
        <w:tc>
          <w:tcPr>
            <w:tcW w:type="dxa" w:w="1872"/>
          </w:tcPr>
          <w:p>
            <w:r>
              <w:t>239,135,62</w:t>
            </w:r>
          </w:p>
        </w:tc>
        <w:tc>
          <w:tcPr>
            <w:tcW w:type="dxa" w:w="1872"/>
          </w:tcPr>
          <w:p>
            <w:r>
              <w:t>Hero glow/accent</w:t>
            </w:r>
          </w:p>
        </w:tc>
      </w:tr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9950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atch_Hero_San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</w:tcPr>
          <w:p>
            <w:r>
              <w:t>Hero Sand</w:t>
            </w:r>
          </w:p>
        </w:tc>
        <w:tc>
          <w:tcPr>
            <w:tcW w:type="dxa" w:w="1872"/>
          </w:tcPr>
          <w:p>
            <w:r>
              <w:t>#FCD297</w:t>
            </w:r>
          </w:p>
        </w:tc>
        <w:tc>
          <w:tcPr>
            <w:tcW w:type="dxa" w:w="1872"/>
          </w:tcPr>
          <w:p>
            <w:r>
              <w:t>252,210,151</w:t>
            </w:r>
          </w:p>
        </w:tc>
        <w:tc>
          <w:tcPr>
            <w:tcW w:type="dxa" w:w="1872"/>
          </w:tcPr>
          <w:p>
            <w:r>
              <w:t>Hero light accent</w:t>
            </w:r>
          </w:p>
        </w:tc>
      </w:tr>
    </w:tbl>
    <w:p>
      <w:pPr>
        <w:pStyle w:val="Heading2"/>
      </w:pPr>
      <w:r>
        <w:t>3.1 Contrast &amp; Accessibility</w:t>
      </w:r>
    </w:p>
    <w:p>
      <w:r>
        <w:t>When placing text over brand colors, maintain WCAG contrast targets (AA at minimum). If contrast is uncertain, prefer dark text (#111111) on light surfaces and white text on dark hero backgrounds.</w:t>
      </w:r>
    </w:p>
    <w:p>
      <w:pPr>
        <w:pStyle w:val="Heading2"/>
      </w:pPr>
      <w:r>
        <w:t>3.2 Gradients &amp; Hero Background</w:t>
      </w:r>
    </w:p>
    <w:p>
      <w:r>
        <w:t>The current hero/background art uses a dark-to-warm gradient family. Use it for splash screens, landing pages, and social headers.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ftora_background_v2_thum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UI Design Tokens</w:t>
      </w:r>
    </w:p>
    <w:p>
      <w:r>
        <w:t>Use tokens to keep the product consistent across components and pages.</w:t>
      </w:r>
    </w:p>
    <w:p>
      <w:pPr>
        <w:pStyle w:val="Heading2"/>
      </w:pPr>
      <w:r>
        <w:t>4.1 Spacing</w:t>
      </w:r>
    </w:p>
    <w:p>
      <w:r>
        <w:t>Spacing scale: 4, 8, 12, 16, 20, 24, 32 (px).</w:t>
      </w:r>
    </w:p>
    <w:p>
      <w:pPr>
        <w:pStyle w:val="Heading2"/>
      </w:pPr>
      <w:r>
        <w:t>4.2 Radius</w:t>
      </w:r>
    </w:p>
    <w:p>
      <w:r>
        <w:t>Radius: 16 (cards/buttons), 24 (modals).</w:t>
      </w:r>
    </w:p>
    <w:p>
      <w:pPr>
        <w:pStyle w:val="Heading2"/>
      </w:pPr>
      <w:r>
        <w:t>4.3 Elevation</w:t>
      </w:r>
    </w:p>
    <w:p>
      <w:r>
        <w:t>Elevation/shadows: 0 1 2 rgba(0,0,0,.06), 0 4 14 rgba(0,0,0,.10).</w:t>
      </w:r>
    </w:p>
    <w:p>
      <w:pPr>
        <w:pStyle w:val="Heading2"/>
      </w:pPr>
      <w:r>
        <w:t>4.4 Component Guidance</w:t>
      </w:r>
    </w:p>
    <w:p>
      <w:r>
        <w:t>Primary button: Brand Orange background; white text; 16 px radius.</w:t>
      </w:r>
    </w:p>
    <w:p>
      <w:r>
        <w:t>Secondary button: transparent background; stroke #E5E7EB; text #111111.</w:t>
      </w:r>
    </w:p>
    <w:p>
      <w:r>
        <w:t>Links/focus states: Brand Violet.</w:t>
      </w:r>
    </w:p>
    <w:p>
      <w:r>
        <w:br w:type="page"/>
      </w:r>
    </w:p>
    <w:p>
      <w:pPr>
        <w:pStyle w:val="Heading1"/>
      </w:pPr>
      <w:r>
        <w:t>5. Typography</w:t>
      </w:r>
    </w:p>
    <w:p>
      <w:r>
        <w:t>Typography is not yet fixed in the current project docs. Recommendation (until a final selection is made):</w:t>
      </w:r>
    </w:p>
    <w:p>
      <w:pPr>
        <w:pStyle w:val="ListBullet"/>
      </w:pPr>
      <w:r>
        <w:t>UI: Inter (or system UI font stack). Marketing: Inter or a compatible geometric sans.</w:t>
      </w:r>
    </w:p>
    <w:p>
      <w:r>
        <w:t>When a final font is selected, record: font family, weights, sizes, line heights, and fallback stack here.</w:t>
      </w:r>
    </w:p>
    <w:p>
      <w:pPr>
        <w:pStyle w:val="Heading1"/>
      </w:pPr>
      <w:r>
        <w:t>6. Writing Style</w:t>
      </w:r>
    </w:p>
    <w:p>
      <w:r>
        <w:t>Guidelines for product copy and marketing:</w:t>
      </w:r>
    </w:p>
    <w:p>
      <w:pPr>
        <w:pStyle w:val="ListBullet"/>
      </w:pPr>
      <w:r>
        <w:t>Use short, scannable sentences and direct calls to action.</w:t>
      </w:r>
    </w:p>
    <w:p>
      <w:pPr>
        <w:pStyle w:val="ListBullet"/>
      </w:pPr>
      <w:r>
        <w:t>Avoid hype language. Emphasize evidence, speed, and seller outcomes.</w:t>
      </w:r>
    </w:p>
    <w:p>
      <w:pPr>
        <w:pStyle w:val="ListBullet"/>
      </w:pPr>
      <w:r>
        <w:t>Prefer concrete terms (median, range, sold comps) over vague claims.</w:t>
      </w:r>
    </w:p>
    <w:p>
      <w:pPr>
        <w:pStyle w:val="Heading1"/>
      </w:pPr>
      <w:r>
        <w:t>7. Asset Checklist (For Engineers &amp; Designers)</w:t>
      </w:r>
    </w:p>
    <w:p>
      <w:pPr>
        <w:pStyle w:val="ListBullet"/>
      </w:pPr>
      <w:r>
        <w:t>SVG versions of icon-only, wordmark-only, and primary lockup.</w:t>
      </w:r>
    </w:p>
    <w:p>
      <w:pPr>
        <w:pStyle w:val="ListBullet"/>
      </w:pPr>
      <w:r>
        <w:t>Monochrome variants (all-white and all-black).</w:t>
      </w:r>
    </w:p>
    <w:p>
      <w:pPr>
        <w:pStyle w:val="ListBullet"/>
      </w:pPr>
      <w:r>
        <w:t>Favicon and app icon exports (16, 32, 48, 180, 512 px).</w:t>
      </w:r>
    </w:p>
    <w:p>
      <w:pPr>
        <w:pStyle w:val="ListBullet"/>
      </w:pPr>
      <w:r>
        <w:t>CSS variables file containing tokens (colors, spacing, radius, elevation).</w:t>
      </w:r>
    </w:p>
    <w:p>
      <w:r>
        <w:t>Owner: Swiftora (internal). Update this document whenever the logo or tokens change.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