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0D99" w14:textId="7281D17A" w:rsidR="009B37BC" w:rsidRPr="009B37BC" w:rsidRDefault="009B37BC" w:rsidP="009B37BC">
      <w:pPr>
        <w:spacing w:before="100" w:beforeAutospacing="1" w:after="100" w:afterAutospacing="1"/>
        <w:jc w:val="right"/>
        <w:outlineLvl w:val="0"/>
        <w:rPr>
          <w:rFonts w:ascii="Arial" w:eastAsia="Times New Roman" w:hAnsi="Arial" w:cs="Arial"/>
          <w:color w:val="01579B"/>
          <w:kern w:val="36"/>
          <w:sz w:val="72"/>
          <w:szCs w:val="72"/>
        </w:rPr>
      </w:pPr>
      <w:r w:rsidRPr="009B37BC">
        <w:rPr>
          <w:rFonts w:ascii="Arial" w:eastAsia="Times New Roman" w:hAnsi="Arial" w:cs="Arial"/>
          <w:b/>
          <w:bCs/>
          <w:color w:val="01579B"/>
          <w:kern w:val="36"/>
          <w:sz w:val="72"/>
          <w:szCs w:val="72"/>
        </w:rPr>
        <w:t>Dairy </w:t>
      </w:r>
      <w:r w:rsidRPr="009B37BC">
        <w:rPr>
          <w:rFonts w:ascii="Arial" w:eastAsia="Times New Roman" w:hAnsi="Arial" w:cs="Arial"/>
          <w:color w:val="01579B"/>
          <w:kern w:val="36"/>
          <w:sz w:val="72"/>
          <w:szCs w:val="72"/>
        </w:rPr>
        <w:fldChar w:fldCharType="begin"/>
      </w:r>
      <w:r w:rsidRPr="009B37BC">
        <w:rPr>
          <w:rFonts w:ascii="Arial" w:eastAsia="Times New Roman" w:hAnsi="Arial" w:cs="Arial"/>
          <w:color w:val="01579B"/>
          <w:kern w:val="36"/>
          <w:sz w:val="72"/>
          <w:szCs w:val="72"/>
        </w:rPr>
        <w:instrText xml:space="preserve"> INCLUDEPICTURE "/var/folders/bg/dzq_hhvx1dxgy6gb5510pxj80000gn/T/com.microsoft.Word/WebArchiveCopyPasteTempFiles/logo.png" \* MERGEFORMATINET </w:instrText>
      </w:r>
      <w:r w:rsidRPr="009B37BC">
        <w:rPr>
          <w:rFonts w:ascii="Arial" w:eastAsia="Times New Roman" w:hAnsi="Arial" w:cs="Arial"/>
          <w:color w:val="01579B"/>
          <w:kern w:val="36"/>
          <w:sz w:val="72"/>
          <w:szCs w:val="72"/>
        </w:rPr>
        <w:fldChar w:fldCharType="separate"/>
      </w:r>
      <w:r w:rsidRPr="009B37BC">
        <w:rPr>
          <w:rFonts w:ascii="Arial" w:eastAsia="Times New Roman" w:hAnsi="Arial" w:cs="Arial"/>
          <w:noProof/>
          <w:color w:val="01579B"/>
          <w:kern w:val="36"/>
          <w:sz w:val="72"/>
          <w:szCs w:val="72"/>
        </w:rPr>
        <w:drawing>
          <wp:inline distT="0" distB="0" distL="0" distR="0" wp14:anchorId="2282C9AF" wp14:editId="24D812C8">
            <wp:extent cx="385321" cy="385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21" cy="447821"/>
                    </a:xfrm>
                    <a:prstGeom prst="rect">
                      <a:avLst/>
                    </a:prstGeom>
                    <a:noFill/>
                    <a:ln>
                      <a:noFill/>
                    </a:ln>
                  </pic:spPr>
                </pic:pic>
              </a:graphicData>
            </a:graphic>
          </wp:inline>
        </w:drawing>
      </w:r>
      <w:r w:rsidRPr="009B37BC">
        <w:rPr>
          <w:rFonts w:ascii="Arial" w:eastAsia="Times New Roman" w:hAnsi="Arial" w:cs="Arial"/>
          <w:color w:val="01579B"/>
          <w:kern w:val="36"/>
          <w:sz w:val="72"/>
          <w:szCs w:val="72"/>
        </w:rPr>
        <w:fldChar w:fldCharType="end"/>
      </w:r>
      <w:r w:rsidRPr="009B37BC">
        <w:rPr>
          <w:rFonts w:ascii="Arial" w:eastAsia="Times New Roman" w:hAnsi="Arial" w:cs="Arial"/>
          <w:b/>
          <w:bCs/>
          <w:color w:val="01579B"/>
          <w:kern w:val="36"/>
          <w:sz w:val="72"/>
          <w:szCs w:val="72"/>
        </w:rPr>
        <w:t> Analytics</w:t>
      </w:r>
    </w:p>
    <w:p w14:paraId="336F33EE" w14:textId="77777777" w:rsidR="001E6583" w:rsidRPr="00D15D7B" w:rsidRDefault="009B37BC" w:rsidP="001E6583">
      <w:pPr>
        <w:tabs>
          <w:tab w:val="num" w:pos="720"/>
        </w:tabs>
        <w:jc w:val="right"/>
        <w:rPr>
          <w:rFonts w:cstheme="minorHAnsi"/>
          <w:kern w:val="36"/>
        </w:rPr>
      </w:pPr>
      <w:r w:rsidRPr="009B37BC">
        <w:rPr>
          <w:b/>
          <w:bCs/>
        </w:rPr>
        <w:t>Submission</w:t>
      </w:r>
      <w:r w:rsidR="00574ECF">
        <w:rPr>
          <w:b/>
          <w:bCs/>
        </w:rPr>
        <w:t xml:space="preserve"> on draft r</w:t>
      </w:r>
      <w:r w:rsidRPr="009B37BC">
        <w:rPr>
          <w:b/>
          <w:bCs/>
        </w:rPr>
        <w:t>eview of Fonterra’s 201</w:t>
      </w:r>
      <w:r w:rsidR="006A3854">
        <w:rPr>
          <w:b/>
          <w:bCs/>
        </w:rPr>
        <w:t>9</w:t>
      </w:r>
      <w:r w:rsidRPr="009B37BC">
        <w:rPr>
          <w:b/>
          <w:bCs/>
        </w:rPr>
        <w:t>/</w:t>
      </w:r>
      <w:r w:rsidR="006A3854">
        <w:rPr>
          <w:b/>
          <w:bCs/>
        </w:rPr>
        <w:t>20</w:t>
      </w:r>
      <w:r w:rsidRPr="009B37BC">
        <w:rPr>
          <w:b/>
          <w:bCs/>
        </w:rPr>
        <w:t xml:space="preserve"> Milk Price Manual</w:t>
      </w:r>
      <w:r w:rsidR="001E6583">
        <w:rPr>
          <w:b/>
          <w:bCs/>
        </w:rPr>
        <w:br/>
      </w:r>
    </w:p>
    <w:p w14:paraId="01CAA364" w14:textId="5E2102A4" w:rsidR="009B37BC" w:rsidRPr="00191A4E" w:rsidRDefault="001E6583" w:rsidP="001E6583">
      <w:pPr>
        <w:tabs>
          <w:tab w:val="num" w:pos="720"/>
        </w:tabs>
        <w:jc w:val="right"/>
        <w:rPr>
          <w:rFonts w:cstheme="minorHAnsi"/>
          <w:kern w:val="36"/>
        </w:rPr>
      </w:pPr>
      <w:r w:rsidRPr="00191A4E">
        <w:rPr>
          <w:rFonts w:cstheme="minorHAnsi"/>
          <w:kern w:val="36"/>
        </w:rPr>
        <w:t>Dr. Oscar Dowson</w:t>
      </w:r>
    </w:p>
    <w:p w14:paraId="164E438F" w14:textId="4BC638CF" w:rsidR="00830E0F" w:rsidRDefault="001E6583" w:rsidP="00967E02">
      <w:pPr>
        <w:tabs>
          <w:tab w:val="num" w:pos="720"/>
        </w:tabs>
        <w:jc w:val="right"/>
      </w:pPr>
      <w:hyperlink r:id="rId9" w:history="1">
        <w:r w:rsidRPr="00191A4E">
          <w:rPr>
            <w:rStyle w:val="Hyperlink"/>
            <w:rFonts w:cstheme="minorHAnsi"/>
            <w:kern w:val="36"/>
          </w:rPr>
          <w:t>oscar@dai</w:t>
        </w:r>
        <w:r w:rsidRPr="00191A4E">
          <w:rPr>
            <w:rStyle w:val="Hyperlink"/>
            <w:rFonts w:cstheme="minorHAnsi"/>
            <w:kern w:val="36"/>
          </w:rPr>
          <w:t>r</w:t>
        </w:r>
        <w:r w:rsidRPr="00191A4E">
          <w:rPr>
            <w:rStyle w:val="Hyperlink"/>
            <w:rFonts w:cstheme="minorHAnsi"/>
            <w:kern w:val="36"/>
          </w:rPr>
          <w:t>yanalytics.co.nz</w:t>
        </w:r>
      </w:hyperlink>
      <w:r w:rsidRPr="00191A4E">
        <w:rPr>
          <w:rFonts w:cstheme="minorHAnsi"/>
          <w:kern w:val="36"/>
        </w:rPr>
        <w:br/>
      </w:r>
      <w:r w:rsidR="00F843B6">
        <w:fldChar w:fldCharType="begin"/>
      </w:r>
      <w:r w:rsidR="00F843B6">
        <w:instrText xml:space="preserve"> DATE \@ "MMMM d, yyyy" </w:instrText>
      </w:r>
      <w:r w:rsidR="00F843B6">
        <w:fldChar w:fldCharType="separate"/>
      </w:r>
      <w:r w:rsidR="00F843B6">
        <w:rPr>
          <w:noProof/>
        </w:rPr>
        <w:t>October 16, 2019</w:t>
      </w:r>
      <w:r w:rsidR="00F843B6">
        <w:fldChar w:fldCharType="end"/>
      </w:r>
    </w:p>
    <w:p w14:paraId="53A87A3B" w14:textId="354E6D71" w:rsidR="009B37BC" w:rsidRDefault="009B37BC" w:rsidP="00830E0F">
      <w:pPr>
        <w:tabs>
          <w:tab w:val="num" w:pos="720"/>
        </w:tabs>
        <w:jc w:val="right"/>
      </w:pPr>
    </w:p>
    <w:p w14:paraId="41DA8321" w14:textId="5B5E5A55" w:rsidR="009B37BC" w:rsidRDefault="009B37BC" w:rsidP="009B37BC">
      <w:pPr>
        <w:tabs>
          <w:tab w:val="num" w:pos="720"/>
        </w:tabs>
        <w:rPr>
          <w:rFonts w:eastAsia="Times New Roman" w:cstheme="minorHAnsi"/>
          <w:b/>
          <w:bCs/>
          <w:color w:val="01579B"/>
          <w:kern w:val="36"/>
        </w:rPr>
      </w:pPr>
      <w:r>
        <w:rPr>
          <w:rFonts w:eastAsia="Times New Roman" w:cstheme="minorHAnsi"/>
          <w:b/>
          <w:bCs/>
          <w:color w:val="01579B"/>
          <w:kern w:val="36"/>
        </w:rPr>
        <w:t>Summary</w:t>
      </w:r>
    </w:p>
    <w:p w14:paraId="4DBC4DBD" w14:textId="0221332F" w:rsidR="009B37BC" w:rsidRDefault="009B37BC" w:rsidP="009B37BC">
      <w:pPr>
        <w:tabs>
          <w:tab w:val="num" w:pos="720"/>
        </w:tabs>
        <w:rPr>
          <w:rFonts w:eastAsia="Times New Roman" w:cstheme="minorHAnsi"/>
          <w:b/>
          <w:bCs/>
          <w:color w:val="01579B"/>
          <w:kern w:val="36"/>
        </w:rPr>
      </w:pPr>
    </w:p>
    <w:p w14:paraId="5E2EBD0F" w14:textId="5EA9F3B5" w:rsidR="00CB6F8F" w:rsidRDefault="009B37BC" w:rsidP="009B37BC">
      <w:pPr>
        <w:tabs>
          <w:tab w:val="num" w:pos="720"/>
        </w:tabs>
      </w:pPr>
      <w:r w:rsidRPr="009B37BC">
        <w:rPr>
          <w:rFonts w:eastAsia="Times New Roman" w:cstheme="minorHAnsi"/>
          <w:color w:val="000000" w:themeColor="text1"/>
          <w:kern w:val="36"/>
        </w:rPr>
        <w:t xml:space="preserve">This </w:t>
      </w:r>
      <w:r w:rsidR="006E6D54">
        <w:rPr>
          <w:rFonts w:eastAsia="Times New Roman" w:cstheme="minorHAnsi"/>
          <w:color w:val="000000" w:themeColor="text1"/>
          <w:kern w:val="36"/>
        </w:rPr>
        <w:t>submission</w:t>
      </w:r>
      <w:r>
        <w:rPr>
          <w:rFonts w:eastAsia="Times New Roman" w:cstheme="minorHAnsi"/>
          <w:color w:val="000000" w:themeColor="text1"/>
          <w:kern w:val="36"/>
        </w:rPr>
        <w:t xml:space="preserve"> </w:t>
      </w:r>
      <w:r w:rsidR="00B45283">
        <w:rPr>
          <w:rFonts w:eastAsia="Times New Roman" w:cstheme="minorHAnsi"/>
          <w:color w:val="000000" w:themeColor="text1"/>
          <w:kern w:val="36"/>
        </w:rPr>
        <w:t xml:space="preserve">is a response to the foreign exchange provisions in the Commerce Commission’s </w:t>
      </w:r>
      <w:r w:rsidR="00937B4D">
        <w:rPr>
          <w:rFonts w:eastAsia="Times New Roman" w:cstheme="minorHAnsi"/>
          <w:color w:val="000000" w:themeColor="text1"/>
          <w:kern w:val="36"/>
        </w:rPr>
        <w:t xml:space="preserve">draft </w:t>
      </w:r>
      <w:r w:rsidR="00B45283">
        <w:rPr>
          <w:rFonts w:eastAsia="Times New Roman" w:cstheme="minorHAnsi"/>
          <w:color w:val="000000" w:themeColor="text1"/>
          <w:kern w:val="36"/>
        </w:rPr>
        <w:t xml:space="preserve">report </w:t>
      </w:r>
      <w:r w:rsidR="00B45283" w:rsidRPr="00B45283">
        <w:rPr>
          <w:rFonts w:eastAsia="Times New Roman" w:cstheme="minorHAnsi"/>
          <w:color w:val="000000" w:themeColor="text1"/>
          <w:kern w:val="36"/>
        </w:rPr>
        <w:t>“</w:t>
      </w:r>
      <w:r w:rsidR="00B45283" w:rsidRPr="00B45283">
        <w:t>Review of Fonterra’s 201</w:t>
      </w:r>
      <w:r w:rsidR="006A3854">
        <w:t>9</w:t>
      </w:r>
      <w:r w:rsidR="00B45283" w:rsidRPr="00B45283">
        <w:t>/</w:t>
      </w:r>
      <w:r w:rsidR="006A3854">
        <w:t>20</w:t>
      </w:r>
      <w:r w:rsidR="00B45283" w:rsidRPr="00B45283">
        <w:t xml:space="preserve"> Milk Price Manual: Dairy Industry Restructuring Act 2001”</w:t>
      </w:r>
      <w:r w:rsidR="006F03AE">
        <w:rPr>
          <w:rStyle w:val="FootnoteReference"/>
        </w:rPr>
        <w:footnoteReference w:id="1"/>
      </w:r>
      <w:r w:rsidR="00CB6F8F">
        <w:t>.</w:t>
      </w:r>
      <w:r w:rsidR="00937B4D">
        <w:t xml:space="preserve"> </w:t>
      </w:r>
    </w:p>
    <w:p w14:paraId="2C278151" w14:textId="07D3FDE9" w:rsidR="009B37BC" w:rsidRDefault="009B37BC" w:rsidP="009B37BC">
      <w:pPr>
        <w:tabs>
          <w:tab w:val="num" w:pos="720"/>
        </w:tabs>
        <w:rPr>
          <w:rFonts w:eastAsia="Times New Roman" w:cstheme="minorHAnsi"/>
          <w:color w:val="000000" w:themeColor="text1"/>
          <w:kern w:val="36"/>
        </w:rPr>
      </w:pPr>
    </w:p>
    <w:p w14:paraId="6AC08728" w14:textId="51957A0C" w:rsidR="00F4291C" w:rsidRPr="00F4291C" w:rsidRDefault="00F4291C" w:rsidP="009B37BC">
      <w:pPr>
        <w:tabs>
          <w:tab w:val="num" w:pos="720"/>
        </w:tabs>
        <w:rPr>
          <w:rFonts w:eastAsia="Times New Roman" w:cstheme="minorHAnsi"/>
          <w:color w:val="000000" w:themeColor="text1"/>
          <w:kern w:val="36"/>
        </w:rPr>
      </w:pPr>
      <w:r>
        <w:rPr>
          <w:rFonts w:eastAsia="Times New Roman" w:cstheme="minorHAnsi"/>
          <w:color w:val="000000" w:themeColor="text1"/>
          <w:kern w:val="36"/>
        </w:rPr>
        <w:t>We strongly agree with the Commission that “there should be more transparency of information on the actual foreign exchange rates achieved by the notional processor.” We call on Fonterra to “[provide] an updated estimate for the average FX conversion rate assumed to be achieved by the notional processor throughout the season.” We disagree with Fonterra and believe this reporting to be inside the scope of the Manual.</w:t>
      </w:r>
    </w:p>
    <w:p w14:paraId="6D04BC32" w14:textId="77777777" w:rsidR="00F4291C" w:rsidRDefault="00F4291C" w:rsidP="009B37BC">
      <w:pPr>
        <w:tabs>
          <w:tab w:val="num" w:pos="720"/>
        </w:tabs>
        <w:rPr>
          <w:rFonts w:eastAsia="Times New Roman" w:cstheme="minorHAnsi"/>
          <w:color w:val="000000" w:themeColor="text1"/>
          <w:kern w:val="36"/>
        </w:rPr>
      </w:pPr>
    </w:p>
    <w:p w14:paraId="18100272" w14:textId="48568C81" w:rsidR="009E7E7C" w:rsidRDefault="009E7E7C" w:rsidP="009E7E7C">
      <w:pPr>
        <w:tabs>
          <w:tab w:val="num" w:pos="720"/>
        </w:tabs>
        <w:rPr>
          <w:rFonts w:eastAsia="Times New Roman" w:cstheme="minorHAnsi"/>
          <w:color w:val="000000" w:themeColor="text1"/>
          <w:kern w:val="36"/>
        </w:rPr>
      </w:pPr>
      <w:r>
        <w:rPr>
          <w:rFonts w:eastAsia="Times New Roman" w:cstheme="minorHAnsi"/>
          <w:color w:val="000000" w:themeColor="text1"/>
          <w:kern w:val="36"/>
        </w:rPr>
        <w:t xml:space="preserve">In addition, </w:t>
      </w:r>
      <w:r w:rsidR="00CB6F8F">
        <w:rPr>
          <w:rFonts w:eastAsia="Times New Roman" w:cstheme="minorHAnsi"/>
          <w:color w:val="000000" w:themeColor="text1"/>
          <w:kern w:val="36"/>
        </w:rPr>
        <w:t>we wish to highlight to the Commission that in the 2019 Farmgate Milk Price Statement</w:t>
      </w:r>
      <w:r w:rsidR="00CB6F8F">
        <w:rPr>
          <w:rStyle w:val="FootnoteReference"/>
          <w:rFonts w:cstheme="minorHAnsi"/>
          <w:color w:val="000000" w:themeColor="text1"/>
          <w:kern w:val="36"/>
        </w:rPr>
        <w:footnoteReference w:id="2"/>
      </w:r>
      <w:r w:rsidR="00CB6F8F">
        <w:rPr>
          <w:rFonts w:eastAsia="Times New Roman" w:cstheme="minorHAnsi"/>
          <w:color w:val="000000" w:themeColor="text1"/>
          <w:kern w:val="36"/>
        </w:rPr>
        <w:t xml:space="preserve">, </w:t>
      </w:r>
      <w:r>
        <w:rPr>
          <w:rFonts w:eastAsia="Times New Roman" w:cstheme="minorHAnsi"/>
          <w:color w:val="000000" w:themeColor="text1"/>
          <w:kern w:val="36"/>
        </w:rPr>
        <w:t>Fonterra ha</w:t>
      </w:r>
      <w:r w:rsidR="00C62697">
        <w:rPr>
          <w:rFonts w:eastAsia="Times New Roman" w:cstheme="minorHAnsi"/>
          <w:color w:val="000000" w:themeColor="text1"/>
          <w:kern w:val="36"/>
        </w:rPr>
        <w:t>s</w:t>
      </w:r>
      <w:r>
        <w:rPr>
          <w:rFonts w:eastAsia="Times New Roman" w:cstheme="minorHAnsi"/>
          <w:color w:val="000000" w:themeColor="text1"/>
          <w:kern w:val="36"/>
        </w:rPr>
        <w:t xml:space="preserve"> taken active steps to reduce transparency around the</w:t>
      </w:r>
      <w:r w:rsidR="00C62697">
        <w:rPr>
          <w:rFonts w:eastAsia="Times New Roman" w:cstheme="minorHAnsi"/>
          <w:color w:val="000000" w:themeColor="text1"/>
          <w:kern w:val="36"/>
        </w:rPr>
        <w:t>ir</w:t>
      </w:r>
      <w:r>
        <w:rPr>
          <w:rFonts w:eastAsia="Times New Roman" w:cstheme="minorHAnsi"/>
          <w:color w:val="000000" w:themeColor="text1"/>
          <w:kern w:val="36"/>
        </w:rPr>
        <w:t xml:space="preserve"> foreign exchange hedging practices</w:t>
      </w:r>
      <w:r w:rsidR="00F4291C">
        <w:rPr>
          <w:rFonts w:eastAsia="Times New Roman" w:cstheme="minorHAnsi"/>
          <w:color w:val="000000" w:themeColor="text1"/>
          <w:kern w:val="36"/>
        </w:rPr>
        <w:t xml:space="preserve"> by withholding pertinent information</w:t>
      </w:r>
      <w:r>
        <w:rPr>
          <w:rFonts w:eastAsia="Times New Roman" w:cstheme="minorHAnsi"/>
          <w:color w:val="000000" w:themeColor="text1"/>
          <w:kern w:val="36"/>
        </w:rPr>
        <w:t>. We call on Fonterra to reinstate the publication of this information and to provide meaningful justification for why it was removed.</w:t>
      </w:r>
    </w:p>
    <w:p w14:paraId="4266D8AE" w14:textId="7E9370F6" w:rsidR="00C12FA5" w:rsidRDefault="00C12FA5" w:rsidP="009E7E7C">
      <w:pPr>
        <w:tabs>
          <w:tab w:val="num" w:pos="720"/>
        </w:tabs>
        <w:rPr>
          <w:rFonts w:eastAsia="Times New Roman" w:cstheme="minorHAnsi"/>
          <w:color w:val="000000" w:themeColor="text1"/>
          <w:kern w:val="36"/>
        </w:rPr>
      </w:pPr>
    </w:p>
    <w:p w14:paraId="246DE07C" w14:textId="0CD36F05" w:rsidR="00830E0F" w:rsidRDefault="00C12FA5" w:rsidP="00830E0F">
      <w:pPr>
        <w:tabs>
          <w:tab w:val="num" w:pos="720"/>
        </w:tabs>
        <w:rPr>
          <w:rFonts w:eastAsia="Times New Roman" w:cstheme="minorHAnsi"/>
          <w:color w:val="000000" w:themeColor="text1"/>
          <w:kern w:val="36"/>
        </w:rPr>
      </w:pPr>
      <w:r>
        <w:rPr>
          <w:rFonts w:eastAsia="Times New Roman" w:cstheme="minorHAnsi"/>
          <w:color w:val="000000" w:themeColor="text1"/>
          <w:kern w:val="36"/>
        </w:rPr>
        <w:t>Finally, we invite the Commission to consider excluding foreign exchange rate hedging from the Manual.</w:t>
      </w:r>
    </w:p>
    <w:p w14:paraId="2C10FBF9" w14:textId="4F4917F2" w:rsidR="00830E0F" w:rsidRDefault="00830E0F">
      <w:pPr>
        <w:rPr>
          <w:rFonts w:eastAsia="Times New Roman" w:cstheme="minorHAnsi"/>
          <w:b/>
          <w:bCs/>
          <w:color w:val="01579B"/>
          <w:kern w:val="36"/>
        </w:rPr>
      </w:pPr>
    </w:p>
    <w:p w14:paraId="12AE4DE7" w14:textId="30C26106" w:rsidR="005D6FFC" w:rsidRDefault="00830E0F" w:rsidP="005D6FFC">
      <w:pPr>
        <w:tabs>
          <w:tab w:val="num" w:pos="720"/>
        </w:tabs>
        <w:rPr>
          <w:rFonts w:eastAsia="Times New Roman" w:cstheme="minorHAnsi"/>
          <w:b/>
          <w:bCs/>
          <w:color w:val="01579B"/>
          <w:kern w:val="36"/>
        </w:rPr>
      </w:pPr>
      <w:r>
        <w:rPr>
          <w:rFonts w:eastAsia="Times New Roman" w:cstheme="minorHAnsi"/>
          <w:b/>
          <w:bCs/>
          <w:color w:val="01579B"/>
          <w:kern w:val="36"/>
        </w:rPr>
        <w:t>About Dairy Analytics</w:t>
      </w:r>
    </w:p>
    <w:p w14:paraId="43EF4766" w14:textId="77777777" w:rsidR="005D6FFC" w:rsidRDefault="005D6FFC" w:rsidP="005D6FFC">
      <w:pPr>
        <w:tabs>
          <w:tab w:val="num" w:pos="720"/>
        </w:tabs>
        <w:rPr>
          <w:rFonts w:eastAsia="Times New Roman" w:cstheme="minorHAnsi"/>
          <w:color w:val="000000" w:themeColor="text1"/>
          <w:kern w:val="36"/>
        </w:rPr>
      </w:pPr>
    </w:p>
    <w:p w14:paraId="76B9AB75" w14:textId="05E5827C" w:rsidR="005D6FFC" w:rsidRDefault="005D6FFC" w:rsidP="005D6FFC">
      <w:pPr>
        <w:tabs>
          <w:tab w:val="num" w:pos="720"/>
        </w:tabs>
        <w:rPr>
          <w:rFonts w:eastAsia="Times New Roman" w:cstheme="minorHAnsi"/>
          <w:color w:val="000000" w:themeColor="text1"/>
          <w:kern w:val="36"/>
        </w:rPr>
      </w:pPr>
      <w:r>
        <w:rPr>
          <w:rFonts w:eastAsia="Times New Roman" w:cstheme="minorHAnsi"/>
          <w:color w:val="000000" w:themeColor="text1"/>
          <w:kern w:val="36"/>
        </w:rPr>
        <w:t xml:space="preserve">We (Dairy Analytics) run an independent website, </w:t>
      </w:r>
      <w:hyperlink r:id="rId10" w:history="1">
        <w:r w:rsidRPr="00604DCC">
          <w:rPr>
            <w:rStyle w:val="Hyperlink"/>
            <w:rFonts w:eastAsia="Times New Roman" w:cstheme="minorHAnsi"/>
            <w:kern w:val="36"/>
          </w:rPr>
          <w:t>d</w:t>
        </w:r>
        <w:r w:rsidRPr="00604DCC">
          <w:rPr>
            <w:rStyle w:val="Hyperlink"/>
            <w:rFonts w:eastAsia="Times New Roman" w:cstheme="minorHAnsi"/>
            <w:kern w:val="36"/>
          </w:rPr>
          <w:t>airyanalytics.co.nz</w:t>
        </w:r>
      </w:hyperlink>
      <w:r>
        <w:rPr>
          <w:rFonts w:eastAsia="Times New Roman" w:cstheme="minorHAnsi"/>
          <w:color w:val="000000" w:themeColor="text1"/>
          <w:kern w:val="36"/>
        </w:rPr>
        <w:t>, which issues probabilistic forecasts of the farmgate milk price over the season. Our motivation is two-fold</w:t>
      </w:r>
      <w:r w:rsidR="006E6D54">
        <w:rPr>
          <w:rFonts w:eastAsia="Times New Roman" w:cstheme="minorHAnsi"/>
          <w:color w:val="000000" w:themeColor="text1"/>
          <w:kern w:val="36"/>
        </w:rPr>
        <w:t>:</w:t>
      </w:r>
    </w:p>
    <w:p w14:paraId="50CB8CDD" w14:textId="77777777" w:rsidR="003C2131" w:rsidRDefault="003C2131" w:rsidP="005D6FFC">
      <w:pPr>
        <w:tabs>
          <w:tab w:val="num" w:pos="720"/>
        </w:tabs>
        <w:rPr>
          <w:rFonts w:eastAsia="Times New Roman" w:cstheme="minorHAnsi"/>
          <w:color w:val="000000" w:themeColor="text1"/>
          <w:kern w:val="36"/>
        </w:rPr>
      </w:pPr>
    </w:p>
    <w:p w14:paraId="198C1C66" w14:textId="7BD84012" w:rsidR="005D6FFC" w:rsidRDefault="005D6FFC" w:rsidP="005D6FFC">
      <w:pPr>
        <w:pStyle w:val="ListParagraph"/>
        <w:numPr>
          <w:ilvl w:val="0"/>
          <w:numId w:val="10"/>
        </w:numPr>
        <w:tabs>
          <w:tab w:val="num" w:pos="720"/>
        </w:tabs>
        <w:rPr>
          <w:rFonts w:eastAsia="Times New Roman" w:cstheme="minorHAnsi"/>
          <w:color w:val="000000" w:themeColor="text1"/>
          <w:kern w:val="36"/>
        </w:rPr>
      </w:pPr>
      <w:r>
        <w:rPr>
          <w:rFonts w:eastAsia="Times New Roman" w:cstheme="minorHAnsi"/>
          <w:color w:val="000000" w:themeColor="text1"/>
          <w:kern w:val="36"/>
        </w:rPr>
        <w:t>to provide an independent check on the forecasts issued by Fonterra; and</w:t>
      </w:r>
    </w:p>
    <w:p w14:paraId="4A78FAA5" w14:textId="77777777" w:rsidR="006E6D54" w:rsidRDefault="005D6FFC" w:rsidP="006E6D54">
      <w:pPr>
        <w:pStyle w:val="ListParagraph"/>
        <w:numPr>
          <w:ilvl w:val="0"/>
          <w:numId w:val="10"/>
        </w:numPr>
        <w:tabs>
          <w:tab w:val="num" w:pos="720"/>
        </w:tabs>
        <w:rPr>
          <w:rFonts w:eastAsia="Times New Roman" w:cstheme="minorHAnsi"/>
          <w:color w:val="000000" w:themeColor="text1"/>
          <w:kern w:val="36"/>
        </w:rPr>
      </w:pPr>
      <w:r>
        <w:rPr>
          <w:rFonts w:eastAsia="Times New Roman" w:cstheme="minorHAnsi"/>
          <w:color w:val="000000" w:themeColor="text1"/>
          <w:kern w:val="36"/>
        </w:rPr>
        <w:t>to educate market participants (e.g., farmers, brokers, banks, Fonterra, and Fonterra</w:t>
      </w:r>
    </w:p>
    <w:p w14:paraId="0D22C1CA" w14:textId="41CF583D" w:rsidR="005D6FFC" w:rsidRPr="006E6D54" w:rsidRDefault="005D6FFC" w:rsidP="006E6D54">
      <w:pPr>
        <w:pStyle w:val="ListParagraph"/>
        <w:ind w:left="1080"/>
        <w:rPr>
          <w:rFonts w:eastAsia="Times New Roman" w:cstheme="minorHAnsi"/>
          <w:color w:val="000000" w:themeColor="text1"/>
          <w:kern w:val="36"/>
        </w:rPr>
      </w:pPr>
      <w:r w:rsidRPr="006E6D54">
        <w:rPr>
          <w:rFonts w:eastAsia="Times New Roman" w:cstheme="minorHAnsi"/>
          <w:color w:val="000000" w:themeColor="text1"/>
          <w:kern w:val="36"/>
        </w:rPr>
        <w:t xml:space="preserve">customers) about the true level of uncertainty in the </w:t>
      </w:r>
      <w:r w:rsidR="006E6D54" w:rsidRPr="006E6D54">
        <w:rPr>
          <w:rFonts w:eastAsia="Times New Roman" w:cstheme="minorHAnsi"/>
          <w:color w:val="000000" w:themeColor="text1"/>
          <w:kern w:val="36"/>
        </w:rPr>
        <w:t>Farmgate Milk Price over the season</w:t>
      </w:r>
      <w:r w:rsidRPr="006E6D54">
        <w:rPr>
          <w:rFonts w:eastAsia="Times New Roman" w:cstheme="minorHAnsi"/>
          <w:color w:val="000000" w:themeColor="text1"/>
          <w:kern w:val="36"/>
        </w:rPr>
        <w:t>.</w:t>
      </w:r>
    </w:p>
    <w:p w14:paraId="70DE13E6" w14:textId="1ABA5520" w:rsidR="005D6FFC" w:rsidRDefault="005D6FFC" w:rsidP="009B37BC">
      <w:pPr>
        <w:tabs>
          <w:tab w:val="num" w:pos="720"/>
        </w:tabs>
        <w:rPr>
          <w:rFonts w:eastAsia="Times New Roman" w:cstheme="minorHAnsi"/>
          <w:color w:val="000000" w:themeColor="text1"/>
          <w:kern w:val="36"/>
        </w:rPr>
      </w:pPr>
      <w:r>
        <w:rPr>
          <w:rFonts w:eastAsia="Times New Roman" w:cstheme="minorHAnsi"/>
          <w:color w:val="000000" w:themeColor="text1"/>
          <w:kern w:val="36"/>
        </w:rPr>
        <w:lastRenderedPageBreak/>
        <w:t xml:space="preserve">A key component of </w:t>
      </w:r>
      <w:r w:rsidR="003C2131">
        <w:rPr>
          <w:rFonts w:eastAsia="Times New Roman" w:cstheme="minorHAnsi"/>
          <w:color w:val="000000" w:themeColor="text1"/>
          <w:kern w:val="36"/>
        </w:rPr>
        <w:t>our</w:t>
      </w:r>
      <w:r>
        <w:rPr>
          <w:rFonts w:eastAsia="Times New Roman" w:cstheme="minorHAnsi"/>
          <w:color w:val="000000" w:themeColor="text1"/>
          <w:kern w:val="36"/>
        </w:rPr>
        <w:t xml:space="preserve"> forecast is an estimate for Fonterra’s hedged foreign exchange rate. </w:t>
      </w:r>
    </w:p>
    <w:p w14:paraId="4EE0ACFA" w14:textId="1C58C505" w:rsidR="005D6FFC" w:rsidRDefault="005D6FFC" w:rsidP="009B37BC">
      <w:pPr>
        <w:tabs>
          <w:tab w:val="num" w:pos="720"/>
        </w:tabs>
        <w:rPr>
          <w:rFonts w:eastAsia="Times New Roman" w:cstheme="minorHAnsi"/>
          <w:color w:val="000000" w:themeColor="text1"/>
          <w:kern w:val="36"/>
        </w:rPr>
      </w:pPr>
    </w:p>
    <w:p w14:paraId="21DE55EF" w14:textId="6885D393" w:rsidR="005D6FFC" w:rsidRDefault="005D6FFC" w:rsidP="009B37BC">
      <w:pPr>
        <w:tabs>
          <w:tab w:val="num" w:pos="720"/>
        </w:tabs>
        <w:rPr>
          <w:rFonts w:eastAsia="Times New Roman" w:cstheme="minorHAnsi"/>
          <w:color w:val="000000" w:themeColor="text1"/>
          <w:kern w:val="36"/>
        </w:rPr>
      </w:pPr>
      <w:r>
        <w:rPr>
          <w:rFonts w:eastAsia="Times New Roman" w:cstheme="minorHAnsi"/>
          <w:color w:val="000000" w:themeColor="text1"/>
          <w:kern w:val="36"/>
        </w:rPr>
        <w:t>Increased transparency by Fonterra with regard to their foreign exchange hedging will allow us to improve our forecasts of the Farmgate Milk Price, thereby improving the decision making of market participants who utilize the Dairy Analytics forecast.</w:t>
      </w:r>
    </w:p>
    <w:p w14:paraId="7112A756" w14:textId="77777777" w:rsidR="00C12FA5" w:rsidRDefault="00C12FA5" w:rsidP="009B37BC">
      <w:pPr>
        <w:tabs>
          <w:tab w:val="num" w:pos="720"/>
        </w:tabs>
        <w:rPr>
          <w:rFonts w:eastAsia="Times New Roman" w:cstheme="minorHAnsi"/>
          <w:color w:val="000000" w:themeColor="text1"/>
          <w:kern w:val="36"/>
        </w:rPr>
      </w:pPr>
    </w:p>
    <w:p w14:paraId="53677182" w14:textId="77777777" w:rsidR="000E3969" w:rsidRPr="00830322" w:rsidRDefault="000E3969" w:rsidP="000E3969">
      <w:pPr>
        <w:tabs>
          <w:tab w:val="num" w:pos="720"/>
        </w:tabs>
        <w:rPr>
          <w:rFonts w:eastAsia="Times New Roman" w:cstheme="minorHAnsi"/>
          <w:b/>
          <w:bCs/>
          <w:color w:val="01579B"/>
          <w:kern w:val="36"/>
        </w:rPr>
      </w:pPr>
      <w:r w:rsidRPr="00830322">
        <w:rPr>
          <w:rFonts w:eastAsia="Times New Roman" w:cstheme="minorHAnsi"/>
          <w:b/>
          <w:bCs/>
          <w:color w:val="01579B"/>
          <w:kern w:val="36"/>
        </w:rPr>
        <w:t>Reduction in transparency in the 2019 Milk Price Statement</w:t>
      </w:r>
    </w:p>
    <w:p w14:paraId="427A5B79" w14:textId="77777777" w:rsidR="000E3969" w:rsidRDefault="000E3969" w:rsidP="000E3969">
      <w:pPr>
        <w:tabs>
          <w:tab w:val="num" w:pos="720"/>
        </w:tabs>
        <w:rPr>
          <w:rFonts w:eastAsia="Times New Roman" w:cstheme="minorHAnsi"/>
          <w:color w:val="000000" w:themeColor="text1"/>
          <w:kern w:val="36"/>
        </w:rPr>
      </w:pPr>
    </w:p>
    <w:p w14:paraId="6B14033A" w14:textId="77777777" w:rsidR="000E3969" w:rsidRDefault="000E3969" w:rsidP="000E3969">
      <w:pPr>
        <w:tabs>
          <w:tab w:val="num" w:pos="720"/>
        </w:tabs>
        <w:rPr>
          <w:rFonts w:eastAsia="Times New Roman" w:cstheme="minorHAnsi"/>
          <w:color w:val="000000" w:themeColor="text1"/>
          <w:kern w:val="36"/>
        </w:rPr>
      </w:pPr>
      <w:r>
        <w:rPr>
          <w:rFonts w:eastAsia="Times New Roman" w:cstheme="minorHAnsi"/>
          <w:color w:val="000000" w:themeColor="text1"/>
          <w:kern w:val="36"/>
        </w:rPr>
        <w:t>In their annual Farmgate Milk Price Statement, Fonterra have traditionally supplied the following paragraph discussing their foreign exchange hedging (subject to changes in the date and the specific numeric constants; this one is taken from the 2018 statement):</w:t>
      </w:r>
    </w:p>
    <w:p w14:paraId="79CCB2D7" w14:textId="77777777" w:rsidR="000E3969" w:rsidRDefault="000E3969" w:rsidP="000E3969">
      <w:pPr>
        <w:tabs>
          <w:tab w:val="num" w:pos="720"/>
        </w:tabs>
        <w:rPr>
          <w:rFonts w:eastAsia="Times New Roman" w:cstheme="minorHAnsi"/>
          <w:color w:val="000000" w:themeColor="text1"/>
          <w:kern w:val="36"/>
        </w:rPr>
      </w:pPr>
    </w:p>
    <w:p w14:paraId="3CF5DC2A" w14:textId="77777777" w:rsidR="000E3969" w:rsidRPr="009E7E7C" w:rsidRDefault="000E3969" w:rsidP="000E3969">
      <w:pPr>
        <w:tabs>
          <w:tab w:val="num" w:pos="720"/>
        </w:tabs>
        <w:ind w:left="720"/>
        <w:rPr>
          <w:rFonts w:eastAsia="Times New Roman" w:cstheme="minorHAnsi"/>
          <w:color w:val="808080" w:themeColor="background1" w:themeShade="80"/>
          <w:kern w:val="36"/>
          <w:sz w:val="20"/>
          <w:szCs w:val="20"/>
        </w:rPr>
      </w:pPr>
      <w:r w:rsidRPr="00B45283">
        <w:rPr>
          <w:rFonts w:eastAsia="Times New Roman" w:cstheme="minorHAnsi"/>
          <w:color w:val="808080" w:themeColor="background1" w:themeShade="80"/>
          <w:sz w:val="20"/>
          <w:szCs w:val="20"/>
        </w:rPr>
        <w:t xml:space="preserve">As at 31 July 2018, Fonterra had foreign exchange contracts in place for approximately 73 per cent of the USD-equivalent operating cash flow exposure expected to impact on the Farmgate Milk Price for the 2019 Season. If the balance was hedged based on a spot exchange rate of 0.6821, the average </w:t>
      </w:r>
      <w:proofErr w:type="gramStart"/>
      <w:r w:rsidRPr="00B45283">
        <w:rPr>
          <w:rFonts w:eastAsia="Times New Roman" w:cstheme="minorHAnsi"/>
          <w:color w:val="808080" w:themeColor="background1" w:themeShade="80"/>
          <w:sz w:val="20"/>
          <w:szCs w:val="20"/>
        </w:rPr>
        <w:t>USD:NZD</w:t>
      </w:r>
      <w:proofErr w:type="gramEnd"/>
      <w:r w:rsidRPr="00B45283">
        <w:rPr>
          <w:rFonts w:eastAsia="Times New Roman" w:cstheme="minorHAnsi"/>
          <w:color w:val="808080" w:themeColor="background1" w:themeShade="80"/>
          <w:sz w:val="20"/>
          <w:szCs w:val="20"/>
        </w:rPr>
        <w:t xml:space="preserve"> conversion rate would be 70 cents.</w:t>
      </w:r>
    </w:p>
    <w:p w14:paraId="3F0C0D0D" w14:textId="77777777" w:rsidR="000E3969" w:rsidRDefault="000E3969" w:rsidP="000E3969">
      <w:pPr>
        <w:tabs>
          <w:tab w:val="num" w:pos="720"/>
        </w:tabs>
        <w:rPr>
          <w:rFonts w:eastAsia="Times New Roman" w:cstheme="minorHAnsi"/>
          <w:color w:val="000000" w:themeColor="text1"/>
          <w:kern w:val="36"/>
        </w:rPr>
      </w:pPr>
    </w:p>
    <w:p w14:paraId="4C5D84BD" w14:textId="17FBB1DE" w:rsidR="000E3969" w:rsidRDefault="000E3969" w:rsidP="000E3969">
      <w:pPr>
        <w:tabs>
          <w:tab w:val="num" w:pos="720"/>
        </w:tabs>
        <w:rPr>
          <w:rFonts w:eastAsia="Times New Roman" w:cstheme="minorHAnsi"/>
          <w:color w:val="000000" w:themeColor="text1"/>
          <w:kern w:val="36"/>
        </w:rPr>
      </w:pPr>
      <w:r>
        <w:rPr>
          <w:rFonts w:eastAsia="Times New Roman" w:cstheme="minorHAnsi"/>
          <w:color w:val="000000" w:themeColor="text1"/>
          <w:kern w:val="36"/>
        </w:rPr>
        <w:t>In the 2019 Farmgate Milk Price Statement</w:t>
      </w:r>
      <w:r w:rsidR="00C12FA5">
        <w:rPr>
          <w:rStyle w:val="FootnoteReference"/>
          <w:rFonts w:cstheme="minorHAnsi"/>
          <w:color w:val="000000" w:themeColor="text1"/>
          <w:kern w:val="36"/>
        </w:rPr>
        <w:footnoteReference w:id="3"/>
      </w:r>
      <w:r>
        <w:rPr>
          <w:rFonts w:eastAsia="Times New Roman" w:cstheme="minorHAnsi"/>
          <w:color w:val="000000" w:themeColor="text1"/>
          <w:kern w:val="36"/>
        </w:rPr>
        <w:t>, this paragraph was deleted.</w:t>
      </w:r>
    </w:p>
    <w:p w14:paraId="3ABA1868" w14:textId="77777777" w:rsidR="000E3969" w:rsidRDefault="000E3969" w:rsidP="000E3969">
      <w:pPr>
        <w:tabs>
          <w:tab w:val="num" w:pos="720"/>
        </w:tabs>
      </w:pPr>
    </w:p>
    <w:p w14:paraId="10472E24" w14:textId="06617CF9" w:rsidR="000E3969" w:rsidRDefault="000E3969" w:rsidP="000E3969">
      <w:pPr>
        <w:tabs>
          <w:tab w:val="num" w:pos="720"/>
        </w:tabs>
      </w:pPr>
      <w:r>
        <w:t>The Commission should be familiar with the specifics of the paragraph since it was the subject of discussion in their report “Review of Fonterra’s 2018/19 base milk price calculation: Dairy Industry Restructuring Act 2001.”</w:t>
      </w:r>
      <w:r>
        <w:rPr>
          <w:rStyle w:val="FootnoteReference"/>
        </w:rPr>
        <w:footnoteReference w:id="4"/>
      </w:r>
      <w:r>
        <w:t xml:space="preserve"> In particular, TD</w:t>
      </w:r>
      <w:r w:rsidR="00AE6629">
        <w:t>B</w:t>
      </w:r>
      <w:r>
        <w:t xml:space="preserve"> Advisory</w:t>
      </w:r>
      <w:r>
        <w:rPr>
          <w:rStyle w:val="FootnoteReference"/>
        </w:rPr>
        <w:footnoteReference w:id="5"/>
      </w:r>
      <w:r>
        <w:t xml:space="preserve"> called for Fonterra to issue the “approximately 73 per cent” and “70 cents” figures in greater precision (e.g., to four </w:t>
      </w:r>
      <w:r w:rsidR="008F084B">
        <w:t>significant figures</w:t>
      </w:r>
      <w:r>
        <w:t>).</w:t>
      </w:r>
    </w:p>
    <w:p w14:paraId="15C1E52F" w14:textId="77777777" w:rsidR="000E3969" w:rsidRDefault="000E3969" w:rsidP="000E3969">
      <w:pPr>
        <w:tabs>
          <w:tab w:val="num" w:pos="720"/>
        </w:tabs>
      </w:pPr>
    </w:p>
    <w:p w14:paraId="4A820833" w14:textId="77777777" w:rsidR="000E3969" w:rsidRPr="00CB6F8F" w:rsidRDefault="000E3969" w:rsidP="000E3969">
      <w:pPr>
        <w:tabs>
          <w:tab w:val="num" w:pos="720"/>
        </w:tabs>
        <w:rPr>
          <w:b/>
          <w:bCs/>
        </w:rPr>
      </w:pPr>
      <w:r>
        <w:t>With regard to the specific points raised in that report:</w:t>
      </w:r>
    </w:p>
    <w:p w14:paraId="79817B58" w14:textId="77777777" w:rsidR="000E3969" w:rsidRDefault="000E3969" w:rsidP="000E3969">
      <w:pPr>
        <w:pStyle w:val="NormalWeb"/>
        <w:numPr>
          <w:ilvl w:val="0"/>
          <w:numId w:val="6"/>
        </w:numPr>
        <w:rPr>
          <w:rFonts w:asciiTheme="minorHAnsi" w:hAnsiTheme="minorHAnsi" w:cstheme="minorHAnsi"/>
          <w:color w:val="000000" w:themeColor="text1"/>
          <w:kern w:val="36"/>
        </w:rPr>
      </w:pPr>
      <w:r>
        <w:rPr>
          <w:rFonts w:asciiTheme="minorHAnsi" w:hAnsiTheme="minorHAnsi" w:cstheme="minorHAnsi"/>
          <w:color w:val="000000" w:themeColor="text1"/>
          <w:kern w:val="36"/>
        </w:rPr>
        <w:t xml:space="preserve">(2.117) We </w:t>
      </w:r>
      <w:r w:rsidRPr="00937B4D">
        <w:rPr>
          <w:rFonts w:asciiTheme="minorHAnsi" w:hAnsiTheme="minorHAnsi" w:cstheme="minorHAnsi"/>
          <w:color w:val="000000" w:themeColor="text1"/>
          <w:kern w:val="36"/>
        </w:rPr>
        <w:t>agree with Fonterra’</w:t>
      </w:r>
      <w:r>
        <w:rPr>
          <w:rFonts w:asciiTheme="minorHAnsi" w:hAnsiTheme="minorHAnsi" w:cstheme="minorHAnsi"/>
          <w:color w:val="000000" w:themeColor="text1"/>
          <w:kern w:val="36"/>
        </w:rPr>
        <w:t>s</w:t>
      </w:r>
      <w:r w:rsidRPr="00937B4D">
        <w:rPr>
          <w:rFonts w:asciiTheme="minorHAnsi" w:hAnsiTheme="minorHAnsi" w:cstheme="minorHAnsi"/>
          <w:color w:val="000000" w:themeColor="text1"/>
          <w:kern w:val="36"/>
        </w:rPr>
        <w:t xml:space="preserve"> position “</w:t>
      </w:r>
      <w:r w:rsidRPr="00937B4D">
        <w:rPr>
          <w:rFonts w:asciiTheme="minorHAnsi" w:hAnsiTheme="minorHAnsi" w:cstheme="minorHAnsi"/>
        </w:rPr>
        <w:t>that the additional precision requested by TDB in Fonterra’s disclosure in the Milk Price Statement of its forecast hedge position for the current season would not in fact provide any additional information to third parties given the level of forecasting uncertainty at the time of publication of the Milk Price Statement</w:t>
      </w:r>
      <w:r>
        <w:rPr>
          <w:rFonts w:asciiTheme="minorHAnsi" w:hAnsiTheme="minorHAnsi" w:cstheme="minorHAnsi"/>
        </w:rPr>
        <w:t>.</w:t>
      </w:r>
      <w:r w:rsidRPr="00937B4D">
        <w:rPr>
          <w:rFonts w:asciiTheme="minorHAnsi" w:hAnsiTheme="minorHAnsi" w:cstheme="minorHAnsi"/>
          <w:color w:val="000000" w:themeColor="text1"/>
          <w:kern w:val="36"/>
        </w:rPr>
        <w:t>”</w:t>
      </w:r>
      <w:r>
        <w:rPr>
          <w:rFonts w:asciiTheme="minorHAnsi" w:hAnsiTheme="minorHAnsi" w:cstheme="minorHAnsi"/>
          <w:color w:val="000000" w:themeColor="text1"/>
          <w:kern w:val="36"/>
        </w:rPr>
        <w:t xml:space="preserve">  </w:t>
      </w:r>
    </w:p>
    <w:p w14:paraId="7765D19B" w14:textId="3489A32E" w:rsidR="000E3969" w:rsidRDefault="000E3969" w:rsidP="000E3969">
      <w:pPr>
        <w:pStyle w:val="NormalWeb"/>
        <w:numPr>
          <w:ilvl w:val="0"/>
          <w:numId w:val="6"/>
        </w:numPr>
        <w:rPr>
          <w:rFonts w:asciiTheme="minorHAnsi" w:hAnsiTheme="minorHAnsi" w:cstheme="minorHAnsi"/>
          <w:color w:val="000000" w:themeColor="text1"/>
          <w:kern w:val="36"/>
        </w:rPr>
      </w:pPr>
      <w:r>
        <w:rPr>
          <w:rFonts w:asciiTheme="minorHAnsi" w:hAnsiTheme="minorHAnsi" w:cstheme="minorHAnsi"/>
          <w:color w:val="000000" w:themeColor="text1"/>
          <w:kern w:val="36"/>
        </w:rPr>
        <w:t>(2.118) We agree with Fonterra’s analysis.</w:t>
      </w:r>
      <w:r w:rsidR="00CE7AC8">
        <w:rPr>
          <w:rFonts w:asciiTheme="minorHAnsi" w:hAnsiTheme="minorHAnsi" w:cstheme="minorHAnsi"/>
          <w:color w:val="000000" w:themeColor="text1"/>
          <w:kern w:val="36"/>
        </w:rPr>
        <w:t xml:space="preserve"> Presenting values for four decimal places reflects an </w:t>
      </w:r>
      <w:r w:rsidR="00210D99">
        <w:rPr>
          <w:rFonts w:asciiTheme="minorHAnsi" w:hAnsiTheme="minorHAnsi" w:cstheme="minorHAnsi"/>
          <w:color w:val="000000" w:themeColor="text1"/>
          <w:kern w:val="36"/>
        </w:rPr>
        <w:t>un-realistic</w:t>
      </w:r>
      <w:r w:rsidR="00CE7AC8">
        <w:rPr>
          <w:rFonts w:asciiTheme="minorHAnsi" w:hAnsiTheme="minorHAnsi" w:cstheme="minorHAnsi"/>
          <w:color w:val="000000" w:themeColor="text1"/>
          <w:kern w:val="36"/>
        </w:rPr>
        <w:t xml:space="preserve"> level of </w:t>
      </w:r>
      <w:r w:rsidR="00210D99">
        <w:rPr>
          <w:rFonts w:asciiTheme="minorHAnsi" w:hAnsiTheme="minorHAnsi" w:cstheme="minorHAnsi"/>
          <w:color w:val="000000" w:themeColor="text1"/>
          <w:kern w:val="36"/>
        </w:rPr>
        <w:t xml:space="preserve">forecasting </w:t>
      </w:r>
      <w:r w:rsidR="00CE7AC8">
        <w:rPr>
          <w:rFonts w:asciiTheme="minorHAnsi" w:hAnsiTheme="minorHAnsi" w:cstheme="minorHAnsi"/>
          <w:color w:val="000000" w:themeColor="text1"/>
          <w:kern w:val="36"/>
        </w:rPr>
        <w:t>accuracy</w:t>
      </w:r>
      <w:r w:rsidR="00210D99">
        <w:rPr>
          <w:rFonts w:asciiTheme="minorHAnsi" w:hAnsiTheme="minorHAnsi" w:cstheme="minorHAnsi"/>
          <w:color w:val="000000" w:themeColor="text1"/>
          <w:kern w:val="36"/>
        </w:rPr>
        <w:t>.</w:t>
      </w:r>
    </w:p>
    <w:p w14:paraId="0E6B60D4" w14:textId="77777777" w:rsidR="003C2131" w:rsidRDefault="000E3969" w:rsidP="000E3969">
      <w:pPr>
        <w:pStyle w:val="NormalWeb"/>
        <w:numPr>
          <w:ilvl w:val="0"/>
          <w:numId w:val="6"/>
        </w:numPr>
        <w:rPr>
          <w:rFonts w:asciiTheme="minorHAnsi" w:hAnsiTheme="minorHAnsi" w:cstheme="minorHAnsi"/>
          <w:color w:val="000000" w:themeColor="text1"/>
          <w:kern w:val="36"/>
        </w:rPr>
      </w:pPr>
      <w:r>
        <w:rPr>
          <w:rFonts w:asciiTheme="minorHAnsi" w:hAnsiTheme="minorHAnsi" w:cstheme="minorHAnsi"/>
          <w:color w:val="000000" w:themeColor="text1"/>
          <w:kern w:val="36"/>
        </w:rPr>
        <w:t>(2.119) In line with Fonterra’s analysis in 2.117 and 2.118, we disagree with the commission that a greater level of precision may assist independent processors to monitor changes.</w:t>
      </w:r>
    </w:p>
    <w:p w14:paraId="264AC46A" w14:textId="035F2AB1" w:rsidR="006E6D54" w:rsidRPr="003C2131" w:rsidRDefault="00C12FA5" w:rsidP="003C2131">
      <w:pPr>
        <w:pStyle w:val="NormalWeb"/>
        <w:rPr>
          <w:rFonts w:asciiTheme="minorHAnsi" w:hAnsiTheme="minorHAnsi" w:cstheme="minorHAnsi"/>
          <w:color w:val="000000" w:themeColor="text1"/>
          <w:kern w:val="36"/>
        </w:rPr>
      </w:pPr>
      <w:r w:rsidRPr="003C2131">
        <w:rPr>
          <w:rFonts w:asciiTheme="minorHAnsi" w:hAnsiTheme="minorHAnsi" w:cstheme="minorHAnsi"/>
          <w:b/>
          <w:bCs/>
          <w:color w:val="000000" w:themeColor="text1"/>
          <w:kern w:val="36"/>
        </w:rPr>
        <w:lastRenderedPageBreak/>
        <w:t>However, while we do not support the request for additional precision, we are strongly opposed to the complete removal of this information</w:t>
      </w:r>
      <w:r w:rsidR="008F084B">
        <w:rPr>
          <w:rFonts w:asciiTheme="minorHAnsi" w:hAnsiTheme="minorHAnsi" w:cstheme="minorHAnsi"/>
          <w:b/>
          <w:bCs/>
          <w:color w:val="000000" w:themeColor="text1"/>
          <w:kern w:val="36"/>
        </w:rPr>
        <w:t xml:space="preserve"> in the 2019 Farmgate Milk Price Statement</w:t>
      </w:r>
      <w:r w:rsidRPr="003C2131">
        <w:rPr>
          <w:rFonts w:asciiTheme="minorHAnsi" w:hAnsiTheme="minorHAnsi" w:cstheme="minorHAnsi"/>
          <w:b/>
          <w:bCs/>
          <w:color w:val="000000" w:themeColor="text1"/>
          <w:kern w:val="36"/>
        </w:rPr>
        <w:t>.</w:t>
      </w:r>
    </w:p>
    <w:p w14:paraId="4A63F669" w14:textId="425182DC" w:rsidR="000E3969" w:rsidRDefault="00C12FA5" w:rsidP="000E3969">
      <w:pPr>
        <w:pStyle w:val="NormalWeb"/>
        <w:rPr>
          <w:rFonts w:asciiTheme="minorHAnsi" w:hAnsiTheme="minorHAnsi" w:cstheme="minorHAnsi"/>
          <w:color w:val="000000" w:themeColor="text1"/>
          <w:kern w:val="36"/>
        </w:rPr>
      </w:pPr>
      <w:r>
        <w:rPr>
          <w:rFonts w:asciiTheme="minorHAnsi" w:hAnsiTheme="minorHAnsi" w:cstheme="minorHAnsi"/>
          <w:color w:val="000000" w:themeColor="text1"/>
          <w:kern w:val="36"/>
        </w:rPr>
        <w:t>Moreover, i</w:t>
      </w:r>
      <w:r w:rsidR="000E3969">
        <w:rPr>
          <w:rFonts w:asciiTheme="minorHAnsi" w:hAnsiTheme="minorHAnsi" w:cstheme="minorHAnsi"/>
          <w:color w:val="000000" w:themeColor="text1"/>
          <w:kern w:val="36"/>
        </w:rPr>
        <w:t>n addition to the quoted paragraph described above, two other relevant paragraphs were deleted. These paragraphs have been included verbatim in every Farmgate Milk Price Statement since 2012. The paragraphs are as follows:</w:t>
      </w:r>
    </w:p>
    <w:p w14:paraId="77F0FA20" w14:textId="77777777" w:rsidR="000E3969" w:rsidRPr="00B45283" w:rsidRDefault="000E3969" w:rsidP="000E3969">
      <w:pPr>
        <w:spacing w:before="100" w:beforeAutospacing="1" w:after="100" w:afterAutospacing="1"/>
        <w:ind w:left="360"/>
        <w:rPr>
          <w:rFonts w:eastAsia="Times New Roman" w:cstheme="minorHAnsi"/>
          <w:color w:val="808080" w:themeColor="background1" w:themeShade="80"/>
          <w:sz w:val="20"/>
          <w:szCs w:val="20"/>
        </w:rPr>
      </w:pPr>
      <w:r w:rsidRPr="00B45283">
        <w:rPr>
          <w:rFonts w:eastAsia="Times New Roman" w:cstheme="minorHAnsi"/>
          <w:color w:val="808080" w:themeColor="background1" w:themeShade="80"/>
          <w:sz w:val="20"/>
          <w:szCs w:val="20"/>
        </w:rPr>
        <w:t>The Manual provides for the conversion of notional USD Farmgate Milk Price receipts to NZD for each month at the average rate</w:t>
      </w:r>
      <w:r w:rsidRPr="005D6FFC">
        <w:rPr>
          <w:rFonts w:eastAsia="Times New Roman" w:cstheme="minorHAnsi"/>
          <w:color w:val="808080" w:themeColor="background1" w:themeShade="80"/>
          <w:sz w:val="20"/>
          <w:szCs w:val="20"/>
        </w:rPr>
        <w:t xml:space="preserve"> </w:t>
      </w:r>
      <w:r w:rsidRPr="00B45283">
        <w:rPr>
          <w:rFonts w:eastAsia="Times New Roman" w:cstheme="minorHAnsi"/>
          <w:color w:val="808080" w:themeColor="background1" w:themeShade="80"/>
          <w:sz w:val="20"/>
          <w:szCs w:val="20"/>
        </w:rPr>
        <w:t>at which Fonterra converts its USD-equivalent foreign currency receipts for the month, taking into account the costs and benefits</w:t>
      </w:r>
      <w:r w:rsidRPr="005D6FFC">
        <w:rPr>
          <w:rFonts w:eastAsia="Times New Roman" w:cstheme="minorHAnsi"/>
          <w:color w:val="808080" w:themeColor="background1" w:themeShade="80"/>
          <w:sz w:val="20"/>
          <w:szCs w:val="20"/>
        </w:rPr>
        <w:t xml:space="preserve"> </w:t>
      </w:r>
      <w:r w:rsidRPr="00B45283">
        <w:rPr>
          <w:rFonts w:eastAsia="Times New Roman" w:cstheme="minorHAnsi"/>
          <w:color w:val="808080" w:themeColor="background1" w:themeShade="80"/>
          <w:sz w:val="20"/>
          <w:szCs w:val="20"/>
        </w:rPr>
        <w:t>of Fonterra’s hedging activities. Fonterra’s policy is to hedge 100</w:t>
      </w:r>
      <w:r w:rsidRPr="005D6FFC">
        <w:rPr>
          <w:rFonts w:eastAsia="Times New Roman" w:cstheme="minorHAnsi"/>
          <w:color w:val="808080" w:themeColor="background1" w:themeShade="80"/>
          <w:sz w:val="20"/>
          <w:szCs w:val="20"/>
        </w:rPr>
        <w:t xml:space="preserve"> </w:t>
      </w:r>
      <w:r w:rsidRPr="00B45283">
        <w:rPr>
          <w:rFonts w:eastAsia="Times New Roman" w:cstheme="minorHAnsi"/>
          <w:color w:val="808080" w:themeColor="background1" w:themeShade="80"/>
          <w:sz w:val="20"/>
          <w:szCs w:val="20"/>
        </w:rPr>
        <w:t xml:space="preserve">per cent of net </w:t>
      </w:r>
      <w:proofErr w:type="spellStart"/>
      <w:r w:rsidRPr="00B45283">
        <w:rPr>
          <w:rFonts w:eastAsia="Times New Roman" w:cstheme="minorHAnsi"/>
          <w:color w:val="808080" w:themeColor="background1" w:themeShade="80"/>
          <w:sz w:val="20"/>
          <w:szCs w:val="20"/>
        </w:rPr>
        <w:t>recognised</w:t>
      </w:r>
      <w:proofErr w:type="spellEnd"/>
      <w:r w:rsidRPr="00B45283">
        <w:rPr>
          <w:rFonts w:eastAsia="Times New Roman" w:cstheme="minorHAnsi"/>
          <w:color w:val="808080" w:themeColor="background1" w:themeShade="80"/>
          <w:sz w:val="20"/>
          <w:szCs w:val="20"/>
        </w:rPr>
        <w:t xml:space="preserve"> foreign currency trade receivables and payables. It also requires hedging of forecast cash receipts from sales for a period of up to 18 months within limits approved by Fonterra’s Board. Fonterra uses forward foreign exchange contracts and currency options to hedge its foreign exchange risk. </w:t>
      </w:r>
    </w:p>
    <w:p w14:paraId="72B8919C" w14:textId="77777777" w:rsidR="000E3969" w:rsidRPr="005D6FFC" w:rsidRDefault="000E3969" w:rsidP="000E3969">
      <w:pPr>
        <w:spacing w:before="100" w:beforeAutospacing="1" w:after="100" w:afterAutospacing="1"/>
        <w:ind w:left="360"/>
        <w:rPr>
          <w:rFonts w:eastAsia="Times New Roman" w:cstheme="minorHAnsi"/>
          <w:color w:val="808080" w:themeColor="background1" w:themeShade="80"/>
          <w:sz w:val="20"/>
          <w:szCs w:val="20"/>
        </w:rPr>
      </w:pPr>
      <w:r w:rsidRPr="00B45283">
        <w:rPr>
          <w:rFonts w:eastAsia="Times New Roman" w:cstheme="minorHAnsi"/>
          <w:color w:val="808080" w:themeColor="background1" w:themeShade="80"/>
          <w:sz w:val="20"/>
          <w:szCs w:val="20"/>
        </w:rPr>
        <w:t xml:space="preserve">Fonterra’s hedging policy is designed to provide certainty and to reduce the impact on the Farmgate Milk Price of volatility in the NZD, and results in the spot exchange rate at a point in time being reflected in the hedged conversion rate over the subsequent 18 months. </w:t>
      </w:r>
    </w:p>
    <w:p w14:paraId="2DB714C5" w14:textId="77777777" w:rsidR="000E3969" w:rsidRPr="00574ECF" w:rsidRDefault="000E3969" w:rsidP="000E3969">
      <w:pPr>
        <w:pStyle w:val="NormalWeb"/>
        <w:rPr>
          <w:rFonts w:asciiTheme="minorHAnsi" w:hAnsiTheme="minorHAnsi" w:cstheme="minorHAnsi"/>
          <w:color w:val="000000" w:themeColor="text1"/>
          <w:kern w:val="36"/>
        </w:rPr>
      </w:pPr>
      <w:r>
        <w:rPr>
          <w:rFonts w:asciiTheme="minorHAnsi" w:hAnsiTheme="minorHAnsi" w:cstheme="minorHAnsi"/>
          <w:color w:val="000000" w:themeColor="text1"/>
          <w:kern w:val="36"/>
        </w:rPr>
        <w:t xml:space="preserve">These paragraphs help provide context for Fonterra’s foreign exchange hedging, including a </w:t>
      </w:r>
      <w:r>
        <w:rPr>
          <w:rFonts w:asciiTheme="minorHAnsi" w:hAnsiTheme="minorHAnsi" w:cstheme="minorHAnsi"/>
          <w:i/>
          <w:iCs/>
          <w:color w:val="000000" w:themeColor="text1"/>
          <w:kern w:val="36"/>
        </w:rPr>
        <w:t>why</w:t>
      </w:r>
      <w:r>
        <w:rPr>
          <w:rFonts w:asciiTheme="minorHAnsi" w:hAnsiTheme="minorHAnsi" w:cstheme="minorHAnsi"/>
          <w:color w:val="000000" w:themeColor="text1"/>
          <w:kern w:val="36"/>
        </w:rPr>
        <w:t xml:space="preserve"> (to provide certainty and reduce volatility) and a </w:t>
      </w:r>
      <w:r>
        <w:rPr>
          <w:rFonts w:asciiTheme="minorHAnsi" w:hAnsiTheme="minorHAnsi" w:cstheme="minorHAnsi"/>
          <w:i/>
          <w:iCs/>
          <w:color w:val="000000" w:themeColor="text1"/>
          <w:kern w:val="36"/>
        </w:rPr>
        <w:t xml:space="preserve">how </w:t>
      </w:r>
      <w:r>
        <w:rPr>
          <w:rFonts w:asciiTheme="minorHAnsi" w:hAnsiTheme="minorHAnsi" w:cstheme="minorHAnsi"/>
          <w:color w:val="000000" w:themeColor="text1"/>
          <w:kern w:val="36"/>
        </w:rPr>
        <w:t>(forward contracts with an 18-month horizon).</w:t>
      </w:r>
    </w:p>
    <w:p w14:paraId="63A49039" w14:textId="05D62BD1" w:rsidR="000E3969" w:rsidRDefault="000E3969" w:rsidP="000E3969">
      <w:pPr>
        <w:pStyle w:val="NormalWeb"/>
        <w:rPr>
          <w:rFonts w:asciiTheme="minorHAnsi" w:hAnsiTheme="minorHAnsi" w:cstheme="minorHAnsi"/>
          <w:color w:val="000000" w:themeColor="text1"/>
          <w:kern w:val="36"/>
        </w:rPr>
      </w:pPr>
      <w:r>
        <w:rPr>
          <w:rFonts w:asciiTheme="minorHAnsi" w:hAnsiTheme="minorHAnsi" w:cstheme="minorHAnsi"/>
          <w:color w:val="000000" w:themeColor="text1"/>
          <w:kern w:val="36"/>
        </w:rPr>
        <w:t xml:space="preserve">We consider the complete removal of this information from the 2019 Farmgate Milk Price Statement to be an active </w:t>
      </w:r>
      <w:r w:rsidR="008F084B">
        <w:rPr>
          <w:rFonts w:asciiTheme="minorHAnsi" w:hAnsiTheme="minorHAnsi" w:cstheme="minorHAnsi"/>
          <w:color w:val="000000" w:themeColor="text1"/>
          <w:kern w:val="36"/>
        </w:rPr>
        <w:t>step</w:t>
      </w:r>
      <w:r>
        <w:rPr>
          <w:rFonts w:asciiTheme="minorHAnsi" w:hAnsiTheme="minorHAnsi" w:cstheme="minorHAnsi"/>
          <w:color w:val="000000" w:themeColor="text1"/>
          <w:kern w:val="36"/>
        </w:rPr>
        <w:t xml:space="preserve"> against the Commission’s recommendation for greater transparency.</w:t>
      </w:r>
    </w:p>
    <w:p w14:paraId="3B3DBF90" w14:textId="2C0949BE" w:rsidR="000E3969" w:rsidRPr="00574ECF" w:rsidRDefault="008F084B" w:rsidP="000E3969">
      <w:pPr>
        <w:pStyle w:val="NormalWeb"/>
        <w:rPr>
          <w:rFonts w:asciiTheme="minorHAnsi" w:hAnsiTheme="minorHAnsi" w:cstheme="minorHAnsi"/>
          <w:color w:val="000000" w:themeColor="text1"/>
          <w:kern w:val="36"/>
        </w:rPr>
      </w:pPr>
      <w:r>
        <w:rPr>
          <w:rFonts w:asciiTheme="minorHAnsi" w:hAnsiTheme="minorHAnsi" w:cstheme="minorHAnsi"/>
          <w:color w:val="000000" w:themeColor="text1"/>
          <w:kern w:val="36"/>
        </w:rPr>
        <w:t>Removing the information</w:t>
      </w:r>
      <w:r w:rsidR="000E3969">
        <w:rPr>
          <w:rFonts w:asciiTheme="minorHAnsi" w:hAnsiTheme="minorHAnsi" w:cstheme="minorHAnsi"/>
          <w:color w:val="000000" w:themeColor="text1"/>
          <w:kern w:val="36"/>
        </w:rPr>
        <w:t xml:space="preserve"> makes it impossible for independent third parties to assess Fonterra’s current position, and it leaves the </w:t>
      </w:r>
      <w:r w:rsidR="000E3969">
        <w:rPr>
          <w:rFonts w:asciiTheme="minorHAnsi" w:hAnsiTheme="minorHAnsi" w:cstheme="minorHAnsi"/>
          <w:i/>
          <w:iCs/>
          <w:color w:val="000000" w:themeColor="text1"/>
          <w:kern w:val="36"/>
        </w:rPr>
        <w:t>why</w:t>
      </w:r>
      <w:r w:rsidR="000E3969">
        <w:rPr>
          <w:rFonts w:asciiTheme="minorHAnsi" w:hAnsiTheme="minorHAnsi" w:cstheme="minorHAnsi"/>
          <w:color w:val="000000" w:themeColor="text1"/>
          <w:kern w:val="36"/>
        </w:rPr>
        <w:t xml:space="preserve"> and </w:t>
      </w:r>
      <w:r w:rsidR="000E3969">
        <w:rPr>
          <w:rFonts w:asciiTheme="minorHAnsi" w:hAnsiTheme="minorHAnsi" w:cstheme="minorHAnsi"/>
          <w:i/>
          <w:iCs/>
          <w:color w:val="000000" w:themeColor="text1"/>
          <w:kern w:val="36"/>
        </w:rPr>
        <w:t>how</w:t>
      </w:r>
      <w:r w:rsidR="000E3969">
        <w:rPr>
          <w:rFonts w:asciiTheme="minorHAnsi" w:hAnsiTheme="minorHAnsi" w:cstheme="minorHAnsi"/>
          <w:color w:val="000000" w:themeColor="text1"/>
          <w:kern w:val="36"/>
        </w:rPr>
        <w:t xml:space="preserve"> components of Fonterra’s foreign exchange hedging </w:t>
      </w:r>
      <w:r w:rsidR="006E6D54">
        <w:rPr>
          <w:rFonts w:asciiTheme="minorHAnsi" w:hAnsiTheme="minorHAnsi" w:cstheme="minorHAnsi"/>
          <w:color w:val="000000" w:themeColor="text1"/>
          <w:kern w:val="36"/>
        </w:rPr>
        <w:t xml:space="preserve">in question and </w:t>
      </w:r>
      <w:r w:rsidR="000E3969">
        <w:rPr>
          <w:rFonts w:asciiTheme="minorHAnsi" w:hAnsiTheme="minorHAnsi" w:cstheme="minorHAnsi"/>
          <w:color w:val="000000" w:themeColor="text1"/>
          <w:kern w:val="36"/>
        </w:rPr>
        <w:t>open to change without notice.</w:t>
      </w:r>
    </w:p>
    <w:p w14:paraId="7E09A763" w14:textId="2A5A51E5" w:rsidR="000E3969" w:rsidRPr="000E3969" w:rsidRDefault="000E3969" w:rsidP="000E3969">
      <w:pPr>
        <w:pStyle w:val="NormalWeb"/>
        <w:tabs>
          <w:tab w:val="num" w:pos="720"/>
        </w:tabs>
        <w:rPr>
          <w:rFonts w:asciiTheme="minorHAnsi" w:hAnsiTheme="minorHAnsi" w:cstheme="minorHAnsi"/>
          <w:color w:val="000000" w:themeColor="text1"/>
          <w:kern w:val="36"/>
        </w:rPr>
      </w:pPr>
      <w:r>
        <w:rPr>
          <w:rFonts w:asciiTheme="minorHAnsi" w:hAnsiTheme="minorHAnsi" w:cstheme="minorHAnsi"/>
          <w:color w:val="000000" w:themeColor="text1"/>
          <w:kern w:val="36"/>
        </w:rPr>
        <w:t>We ask that Fo</w:t>
      </w:r>
      <w:r w:rsidRPr="00574ECF">
        <w:rPr>
          <w:rFonts w:asciiTheme="minorHAnsi" w:hAnsiTheme="minorHAnsi" w:cstheme="minorHAnsi"/>
          <w:color w:val="000000" w:themeColor="text1"/>
          <w:kern w:val="36"/>
        </w:rPr>
        <w:t xml:space="preserve">nterra </w:t>
      </w:r>
      <w:proofErr w:type="gramStart"/>
      <w:r w:rsidRPr="00574ECF">
        <w:rPr>
          <w:rFonts w:asciiTheme="minorHAnsi" w:hAnsiTheme="minorHAnsi" w:cstheme="minorHAnsi"/>
          <w:color w:val="000000" w:themeColor="text1"/>
          <w:kern w:val="36"/>
        </w:rPr>
        <w:t>re-instate</w:t>
      </w:r>
      <w:proofErr w:type="gramEnd"/>
      <w:r w:rsidRPr="00574ECF">
        <w:rPr>
          <w:rFonts w:asciiTheme="minorHAnsi" w:hAnsiTheme="minorHAnsi" w:cstheme="minorHAnsi"/>
          <w:color w:val="000000" w:themeColor="text1"/>
          <w:kern w:val="36"/>
        </w:rPr>
        <w:t xml:space="preserve"> the deleted paragraphs in future </w:t>
      </w:r>
      <w:r w:rsidR="006E6D54">
        <w:rPr>
          <w:rFonts w:asciiTheme="minorHAnsi" w:hAnsiTheme="minorHAnsi" w:cstheme="minorHAnsi"/>
          <w:color w:val="000000" w:themeColor="text1"/>
          <w:kern w:val="36"/>
        </w:rPr>
        <w:t>Milk Price Statements</w:t>
      </w:r>
      <w:r w:rsidRPr="00574ECF">
        <w:rPr>
          <w:rFonts w:asciiTheme="minorHAnsi" w:hAnsiTheme="minorHAnsi" w:cstheme="minorHAnsi"/>
          <w:color w:val="000000" w:themeColor="text1"/>
          <w:kern w:val="36"/>
        </w:rPr>
        <w:t xml:space="preserve"> and provide meaningful justification for </w:t>
      </w:r>
      <w:r w:rsidR="008F084B">
        <w:rPr>
          <w:rFonts w:asciiTheme="minorHAnsi" w:hAnsiTheme="minorHAnsi" w:cstheme="minorHAnsi"/>
          <w:color w:val="000000" w:themeColor="text1"/>
          <w:kern w:val="36"/>
        </w:rPr>
        <w:t xml:space="preserve">the </w:t>
      </w:r>
      <w:r w:rsidRPr="00574ECF">
        <w:rPr>
          <w:rFonts w:asciiTheme="minorHAnsi" w:hAnsiTheme="minorHAnsi" w:cstheme="minorHAnsi"/>
          <w:color w:val="000000" w:themeColor="text1"/>
          <w:kern w:val="36"/>
        </w:rPr>
        <w:t>removal</w:t>
      </w:r>
      <w:r w:rsidR="008F084B">
        <w:rPr>
          <w:rFonts w:asciiTheme="minorHAnsi" w:hAnsiTheme="minorHAnsi" w:cstheme="minorHAnsi"/>
          <w:color w:val="000000" w:themeColor="text1"/>
          <w:kern w:val="36"/>
        </w:rPr>
        <w:t xml:space="preserve"> of the paragraphs</w:t>
      </w:r>
      <w:r w:rsidRPr="00574ECF">
        <w:rPr>
          <w:rFonts w:asciiTheme="minorHAnsi" w:hAnsiTheme="minorHAnsi" w:cstheme="minorHAnsi"/>
          <w:color w:val="000000" w:themeColor="text1"/>
          <w:kern w:val="36"/>
        </w:rPr>
        <w:t xml:space="preserve"> </w:t>
      </w:r>
      <w:r w:rsidR="006E6D54">
        <w:rPr>
          <w:rFonts w:asciiTheme="minorHAnsi" w:hAnsiTheme="minorHAnsi" w:cstheme="minorHAnsi"/>
          <w:color w:val="000000" w:themeColor="text1"/>
          <w:kern w:val="36"/>
        </w:rPr>
        <w:t>in the 2019 statement</w:t>
      </w:r>
      <w:r w:rsidRPr="00574ECF">
        <w:rPr>
          <w:rFonts w:asciiTheme="minorHAnsi" w:hAnsiTheme="minorHAnsi" w:cstheme="minorHAnsi"/>
          <w:color w:val="000000" w:themeColor="text1"/>
          <w:kern w:val="36"/>
        </w:rPr>
        <w:t>.</w:t>
      </w:r>
    </w:p>
    <w:p w14:paraId="7C5D8125" w14:textId="77777777" w:rsidR="006E6D54" w:rsidRDefault="00F4291C" w:rsidP="009B37BC">
      <w:pPr>
        <w:tabs>
          <w:tab w:val="num" w:pos="720"/>
        </w:tabs>
        <w:rPr>
          <w:rFonts w:eastAsia="Times New Roman" w:cstheme="minorHAnsi"/>
          <w:b/>
          <w:bCs/>
          <w:color w:val="01579B"/>
          <w:kern w:val="36"/>
        </w:rPr>
      </w:pPr>
      <w:r>
        <w:rPr>
          <w:rFonts w:eastAsia="Times New Roman" w:cstheme="minorHAnsi"/>
          <w:b/>
          <w:bCs/>
          <w:color w:val="01579B"/>
          <w:kern w:val="36"/>
        </w:rPr>
        <w:t xml:space="preserve">Comments on increasing the transparency of foreign exchange reporting in the </w:t>
      </w:r>
      <w:r w:rsidR="003F049C">
        <w:rPr>
          <w:rFonts w:eastAsia="Times New Roman" w:cstheme="minorHAnsi"/>
          <w:b/>
          <w:bCs/>
          <w:color w:val="01579B"/>
          <w:kern w:val="36"/>
        </w:rPr>
        <w:t>draft review</w:t>
      </w:r>
    </w:p>
    <w:p w14:paraId="1A799E50" w14:textId="77777777" w:rsidR="006E6D54" w:rsidRDefault="006E6D54" w:rsidP="009B37BC">
      <w:pPr>
        <w:tabs>
          <w:tab w:val="num" w:pos="720"/>
        </w:tabs>
        <w:rPr>
          <w:rFonts w:eastAsia="Times New Roman" w:cstheme="minorHAnsi"/>
          <w:b/>
          <w:bCs/>
          <w:color w:val="01579B"/>
          <w:kern w:val="36"/>
        </w:rPr>
      </w:pPr>
    </w:p>
    <w:p w14:paraId="0B6FF2C7" w14:textId="2A304FFE" w:rsidR="00574ECF" w:rsidRDefault="003F049C" w:rsidP="009B37BC">
      <w:pPr>
        <w:tabs>
          <w:tab w:val="num" w:pos="720"/>
        </w:tabs>
        <w:rPr>
          <w:rFonts w:eastAsia="Times New Roman" w:cstheme="minorHAnsi"/>
          <w:b/>
          <w:bCs/>
          <w:color w:val="01579B"/>
          <w:kern w:val="36"/>
        </w:rPr>
      </w:pPr>
      <w:r>
        <w:rPr>
          <w:rFonts w:eastAsia="Times New Roman" w:cstheme="minorHAnsi"/>
          <w:kern w:val="36"/>
        </w:rPr>
        <w:t>Th</w:t>
      </w:r>
      <w:r w:rsidR="000E3969">
        <w:rPr>
          <w:rFonts w:eastAsia="Times New Roman" w:cstheme="minorHAnsi"/>
          <w:kern w:val="36"/>
        </w:rPr>
        <w:t>e reduction in transparency also relates to the</w:t>
      </w:r>
      <w:r>
        <w:rPr>
          <w:rFonts w:eastAsia="Times New Roman" w:cstheme="minorHAnsi"/>
          <w:kern w:val="36"/>
        </w:rPr>
        <w:t xml:space="preserve"> Commission’s call for increased transparency of foreign exchange hedging rates i</w:t>
      </w:r>
      <w:r w:rsidR="00574ECF" w:rsidRPr="00574ECF">
        <w:rPr>
          <w:rFonts w:eastAsia="Times New Roman" w:cstheme="minorHAnsi"/>
          <w:kern w:val="36"/>
        </w:rPr>
        <w:t xml:space="preserve">n the </w:t>
      </w:r>
      <w:r w:rsidRPr="00574ECF">
        <w:rPr>
          <w:rFonts w:eastAsia="Times New Roman" w:cstheme="minorHAnsi"/>
          <w:kern w:val="36"/>
        </w:rPr>
        <w:t>Co</w:t>
      </w:r>
      <w:r>
        <w:rPr>
          <w:rFonts w:eastAsia="Times New Roman" w:cstheme="minorHAnsi"/>
          <w:kern w:val="36"/>
        </w:rPr>
        <w:t>m</w:t>
      </w:r>
      <w:r w:rsidRPr="00574ECF">
        <w:rPr>
          <w:rFonts w:eastAsia="Times New Roman" w:cstheme="minorHAnsi"/>
          <w:kern w:val="36"/>
        </w:rPr>
        <w:t>mission</w:t>
      </w:r>
      <w:r>
        <w:rPr>
          <w:rFonts w:eastAsia="Times New Roman" w:cstheme="minorHAnsi"/>
          <w:kern w:val="36"/>
        </w:rPr>
        <w:t>’</w:t>
      </w:r>
      <w:r w:rsidRPr="00574ECF">
        <w:rPr>
          <w:rFonts w:eastAsia="Times New Roman" w:cstheme="minorHAnsi"/>
          <w:kern w:val="36"/>
        </w:rPr>
        <w:t>s</w:t>
      </w:r>
      <w:r w:rsidR="00574ECF">
        <w:rPr>
          <w:rFonts w:eastAsia="Times New Roman" w:cstheme="minorHAnsi"/>
          <w:kern w:val="36"/>
        </w:rPr>
        <w:t xml:space="preserve"> </w:t>
      </w:r>
      <w:r>
        <w:rPr>
          <w:rFonts w:eastAsia="Times New Roman" w:cstheme="minorHAnsi"/>
          <w:kern w:val="36"/>
        </w:rPr>
        <w:t xml:space="preserve">draft </w:t>
      </w:r>
      <w:r>
        <w:rPr>
          <w:rFonts w:eastAsia="Times New Roman" w:cstheme="minorHAnsi"/>
          <w:color w:val="000000" w:themeColor="text1"/>
          <w:kern w:val="36"/>
        </w:rPr>
        <w:t xml:space="preserve">review of </w:t>
      </w:r>
      <w:r w:rsidRPr="00B45283">
        <w:t>Fonterra’s 201</w:t>
      </w:r>
      <w:r>
        <w:t>9</w:t>
      </w:r>
      <w:r w:rsidRPr="00B45283">
        <w:t>/</w:t>
      </w:r>
      <w:r>
        <w:t>20</w:t>
      </w:r>
      <w:r w:rsidRPr="00B45283">
        <w:t xml:space="preserve"> Milk Price Manual</w:t>
      </w:r>
      <w:r w:rsidR="000E3969">
        <w:rPr>
          <w:rStyle w:val="FootnoteReference"/>
        </w:rPr>
        <w:footnoteReference w:id="6"/>
      </w:r>
      <w:r w:rsidR="000E3969">
        <w:t>.</w:t>
      </w:r>
    </w:p>
    <w:p w14:paraId="6FD7BD82" w14:textId="77777777" w:rsidR="00574ECF" w:rsidRDefault="00574ECF" w:rsidP="009B37BC">
      <w:pPr>
        <w:tabs>
          <w:tab w:val="num" w:pos="720"/>
        </w:tabs>
        <w:rPr>
          <w:rFonts w:eastAsia="Times New Roman" w:cstheme="minorHAnsi"/>
          <w:b/>
          <w:bCs/>
          <w:color w:val="01579B"/>
          <w:kern w:val="36"/>
        </w:rPr>
      </w:pPr>
    </w:p>
    <w:p w14:paraId="28E693B1" w14:textId="77777777" w:rsidR="00F4291C" w:rsidRDefault="00F4291C" w:rsidP="00F4291C">
      <w:pPr>
        <w:tabs>
          <w:tab w:val="num" w:pos="720"/>
        </w:tabs>
        <w:rPr>
          <w:rFonts w:eastAsia="Times New Roman" w:cstheme="minorHAnsi"/>
          <w:color w:val="000000" w:themeColor="text1"/>
          <w:kern w:val="36"/>
        </w:rPr>
      </w:pPr>
      <w:r>
        <w:rPr>
          <w:rFonts w:eastAsia="Times New Roman" w:cstheme="minorHAnsi"/>
          <w:color w:val="000000" w:themeColor="text1"/>
          <w:kern w:val="36"/>
        </w:rPr>
        <w:t>We agree with the conclusion that “there should be more transparency of information on the actual foreign exchange rates assumed to be achieved by the notional processor.”</w:t>
      </w:r>
    </w:p>
    <w:p w14:paraId="30BCA99F" w14:textId="77777777" w:rsidR="00F4291C" w:rsidRDefault="00F4291C" w:rsidP="00F4291C">
      <w:pPr>
        <w:tabs>
          <w:tab w:val="num" w:pos="720"/>
        </w:tabs>
        <w:rPr>
          <w:rFonts w:eastAsia="Times New Roman" w:cstheme="minorHAnsi"/>
          <w:color w:val="000000" w:themeColor="text1"/>
          <w:kern w:val="36"/>
        </w:rPr>
      </w:pPr>
    </w:p>
    <w:p w14:paraId="50C3F4B4" w14:textId="77777777" w:rsidR="00F4291C" w:rsidRDefault="00F4291C" w:rsidP="00F4291C">
      <w:pPr>
        <w:tabs>
          <w:tab w:val="num" w:pos="720"/>
        </w:tabs>
        <w:rPr>
          <w:rFonts w:eastAsia="Times New Roman" w:cstheme="minorHAnsi"/>
          <w:color w:val="000000" w:themeColor="text1"/>
          <w:kern w:val="36"/>
        </w:rPr>
      </w:pPr>
      <w:r>
        <w:rPr>
          <w:rFonts w:eastAsia="Times New Roman" w:cstheme="minorHAnsi"/>
          <w:color w:val="000000" w:themeColor="text1"/>
          <w:kern w:val="36"/>
        </w:rPr>
        <w:lastRenderedPageBreak/>
        <w:t>We agree with the suggestion that Fonterra “[provide] an average FX conversion rate assumed to be achieved by the notional processor throughout the season.”</w:t>
      </w:r>
    </w:p>
    <w:p w14:paraId="088F8339" w14:textId="77777777" w:rsidR="00F4291C" w:rsidRDefault="00F4291C" w:rsidP="00F4291C">
      <w:pPr>
        <w:tabs>
          <w:tab w:val="num" w:pos="720"/>
        </w:tabs>
        <w:rPr>
          <w:rFonts w:eastAsia="Times New Roman" w:cstheme="minorHAnsi"/>
          <w:color w:val="000000" w:themeColor="text1"/>
          <w:kern w:val="36"/>
        </w:rPr>
      </w:pPr>
    </w:p>
    <w:p w14:paraId="5860BAFF" w14:textId="77777777" w:rsidR="00C12FA5" w:rsidRDefault="00F4291C" w:rsidP="00C12FA5">
      <w:pPr>
        <w:tabs>
          <w:tab w:val="num" w:pos="720"/>
        </w:tabs>
        <w:rPr>
          <w:rFonts w:eastAsia="Times New Roman" w:cstheme="minorHAnsi"/>
          <w:color w:val="000000" w:themeColor="text1"/>
          <w:kern w:val="36"/>
        </w:rPr>
      </w:pPr>
      <w:r>
        <w:rPr>
          <w:rFonts w:eastAsia="Times New Roman" w:cstheme="minorHAnsi"/>
          <w:color w:val="000000" w:themeColor="text1"/>
          <w:kern w:val="36"/>
        </w:rPr>
        <w:t>We disagree with Fonterra “that this matter is outside [the] scope of [the] manual” for the following reason</w:t>
      </w:r>
      <w:r w:rsidR="000275A1">
        <w:rPr>
          <w:rFonts w:eastAsia="Times New Roman" w:cstheme="minorHAnsi"/>
          <w:color w:val="000000" w:themeColor="text1"/>
          <w:kern w:val="36"/>
        </w:rPr>
        <w:t>.</w:t>
      </w:r>
    </w:p>
    <w:p w14:paraId="26A5F019" w14:textId="77777777" w:rsidR="00C12FA5" w:rsidRDefault="00C12FA5" w:rsidP="00C12FA5">
      <w:pPr>
        <w:tabs>
          <w:tab w:val="num" w:pos="720"/>
        </w:tabs>
        <w:rPr>
          <w:rFonts w:eastAsia="Times New Roman" w:cstheme="minorHAnsi"/>
          <w:color w:val="000000" w:themeColor="text1"/>
          <w:kern w:val="36"/>
        </w:rPr>
      </w:pPr>
    </w:p>
    <w:p w14:paraId="6E0F75DD" w14:textId="11F2B211" w:rsidR="003F049C" w:rsidRPr="00C12FA5" w:rsidRDefault="003F049C" w:rsidP="00C12FA5">
      <w:pPr>
        <w:tabs>
          <w:tab w:val="num" w:pos="720"/>
        </w:tabs>
        <w:rPr>
          <w:rFonts w:eastAsia="Times New Roman" w:cstheme="minorHAnsi"/>
          <w:color w:val="000000" w:themeColor="text1"/>
          <w:kern w:val="36"/>
        </w:rPr>
      </w:pPr>
      <w:r w:rsidRPr="003F049C">
        <w:rPr>
          <w:rFonts w:eastAsia="Times New Roman" w:cstheme="minorHAnsi"/>
          <w:color w:val="000000"/>
          <w:shd w:val="clear" w:color="auto" w:fill="FFFFFF"/>
        </w:rPr>
        <w:t>150</w:t>
      </w:r>
      <w:proofErr w:type="gramStart"/>
      <w:r w:rsidRPr="003F049C">
        <w:rPr>
          <w:rFonts w:eastAsia="Times New Roman" w:cstheme="minorHAnsi"/>
          <w:color w:val="000000"/>
          <w:shd w:val="clear" w:color="auto" w:fill="FFFFFF"/>
        </w:rPr>
        <w:t>A(</w:t>
      </w:r>
      <w:proofErr w:type="gramEnd"/>
      <w:r w:rsidRPr="003F049C">
        <w:rPr>
          <w:rFonts w:eastAsia="Times New Roman" w:cstheme="minorHAnsi"/>
          <w:color w:val="000000"/>
          <w:shd w:val="clear" w:color="auto" w:fill="FFFFFF"/>
        </w:rPr>
        <w:t>2) of the Act</w:t>
      </w:r>
      <w:r w:rsidRPr="003F049C">
        <w:rPr>
          <w:rStyle w:val="FootnoteReference"/>
          <w:rFonts w:eastAsia="Times New Roman" w:cstheme="minorHAnsi"/>
          <w:color w:val="000000"/>
          <w:shd w:val="clear" w:color="auto" w:fill="FFFFFF"/>
        </w:rPr>
        <w:footnoteReference w:id="7"/>
      </w:r>
      <w:r w:rsidRPr="003F049C">
        <w:rPr>
          <w:rFonts w:eastAsia="Times New Roman" w:cstheme="minorHAnsi"/>
          <w:color w:val="000000"/>
          <w:shd w:val="clear" w:color="auto" w:fill="FFFFFF"/>
        </w:rPr>
        <w:t xml:space="preserve">  </w:t>
      </w:r>
      <w:r w:rsidRPr="003F049C">
        <w:rPr>
          <w:rFonts w:cstheme="minorHAnsi"/>
          <w:color w:val="000000"/>
          <w:shd w:val="clear" w:color="auto" w:fill="FFFFFF"/>
        </w:rPr>
        <w:t>“</w:t>
      </w:r>
      <w:r w:rsidRPr="003F049C">
        <w:rPr>
          <w:rFonts w:cstheme="minorHAnsi"/>
        </w:rPr>
        <w:t>provides for contestability in the market for the purchase of milk from farmers if any notional costs, revenues, or other assumptions taken into account in calculating the base milk price are practically feasible for an efficient processor.”</w:t>
      </w:r>
    </w:p>
    <w:p w14:paraId="0186E7B5" w14:textId="48A8F567" w:rsidR="00F4291C" w:rsidRDefault="003F049C" w:rsidP="000275A1">
      <w:pPr>
        <w:pStyle w:val="NormalWeb"/>
        <w:rPr>
          <w:rFonts w:asciiTheme="minorHAnsi" w:hAnsiTheme="minorHAnsi" w:cstheme="minorHAnsi"/>
          <w:color w:val="000000"/>
          <w:shd w:val="clear" w:color="auto" w:fill="FFFFFF"/>
        </w:rPr>
      </w:pPr>
      <w:r w:rsidRPr="003F049C">
        <w:rPr>
          <w:rFonts w:asciiTheme="minorHAnsi" w:hAnsiTheme="minorHAnsi" w:cstheme="minorHAnsi"/>
        </w:rPr>
        <w:t xml:space="preserve">We </w:t>
      </w:r>
      <w:r w:rsidR="00C12FA5">
        <w:rPr>
          <w:rFonts w:asciiTheme="minorHAnsi" w:hAnsiTheme="minorHAnsi" w:cstheme="minorHAnsi"/>
        </w:rPr>
        <w:t>interpret</w:t>
      </w:r>
      <w:r w:rsidRPr="003F049C">
        <w:rPr>
          <w:rFonts w:asciiTheme="minorHAnsi" w:hAnsiTheme="minorHAnsi" w:cstheme="minorHAnsi"/>
        </w:rPr>
        <w:t xml:space="preserve"> “other assumptions” to include Fonterra’s foreign exchange hedging strategies. This is backed by </w:t>
      </w:r>
      <w:r w:rsidR="00F4291C" w:rsidRPr="003F049C">
        <w:rPr>
          <w:rFonts w:asciiTheme="minorHAnsi" w:hAnsiTheme="minorHAnsi" w:cstheme="minorHAnsi"/>
          <w:color w:val="000000"/>
          <w:shd w:val="clear" w:color="auto" w:fill="FFFFFF"/>
        </w:rPr>
        <w:t xml:space="preserve">150B(c) </w:t>
      </w:r>
      <w:r w:rsidRPr="003F049C">
        <w:rPr>
          <w:rFonts w:asciiTheme="minorHAnsi" w:hAnsiTheme="minorHAnsi" w:cstheme="minorHAnsi"/>
          <w:color w:val="000000"/>
          <w:shd w:val="clear" w:color="auto" w:fill="FFFFFF"/>
        </w:rPr>
        <w:t>of the Act, which explicitly accounts for</w:t>
      </w:r>
      <w:r w:rsidR="00F4291C" w:rsidRPr="003F049C">
        <w:rPr>
          <w:rFonts w:asciiTheme="minorHAnsi" w:hAnsiTheme="minorHAnsi" w:cstheme="minorHAnsi"/>
          <w:color w:val="000000"/>
          <w:shd w:val="clear" w:color="auto" w:fill="FFFFFF"/>
        </w:rPr>
        <w:t xml:space="preserve"> </w:t>
      </w:r>
      <w:r w:rsidRPr="003F049C">
        <w:rPr>
          <w:rFonts w:asciiTheme="minorHAnsi" w:hAnsiTheme="minorHAnsi" w:cstheme="minorHAnsi"/>
          <w:color w:val="000000"/>
          <w:shd w:val="clear" w:color="auto" w:fill="FFFFFF"/>
        </w:rPr>
        <w:t xml:space="preserve">the </w:t>
      </w:r>
      <w:r w:rsidR="00F4291C" w:rsidRPr="003F049C">
        <w:rPr>
          <w:rFonts w:asciiTheme="minorHAnsi" w:hAnsiTheme="minorHAnsi" w:cstheme="minorHAnsi"/>
          <w:color w:val="000000"/>
          <w:shd w:val="clear" w:color="auto" w:fill="FFFFFF"/>
        </w:rPr>
        <w:t>“gains and losses experienced by new co-op resulting from foreign currency fluctuations, including from new co-op’s foreign currency risk-management strategies, are incorporated in the b</w:t>
      </w:r>
      <w:r w:rsidR="00F4291C" w:rsidRPr="00830322">
        <w:rPr>
          <w:rFonts w:asciiTheme="minorHAnsi" w:hAnsiTheme="minorHAnsi" w:cstheme="minorHAnsi"/>
          <w:color w:val="000000"/>
          <w:shd w:val="clear" w:color="auto" w:fill="FFFFFF"/>
        </w:rPr>
        <w:t>ase milk price.”</w:t>
      </w:r>
    </w:p>
    <w:p w14:paraId="0E89CC4F" w14:textId="0CE83A90" w:rsidR="000E3969" w:rsidRPr="001E6583" w:rsidRDefault="00C12FA5" w:rsidP="001E6583">
      <w:pPr>
        <w:pStyle w:val="NormalWeb"/>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We also interpret “practically feasible</w:t>
      </w:r>
      <w:r w:rsidR="00C62697">
        <w:rPr>
          <w:rFonts w:asciiTheme="minorHAnsi" w:hAnsiTheme="minorHAnsi" w:cstheme="minorHAnsi"/>
          <w:color w:val="000000"/>
          <w:shd w:val="clear" w:color="auto" w:fill="FFFFFF"/>
        </w:rPr>
        <w:t xml:space="preserve"> for an efficient processor</w:t>
      </w:r>
      <w:r>
        <w:rPr>
          <w:rFonts w:asciiTheme="minorHAnsi" w:hAnsiTheme="minorHAnsi" w:cstheme="minorHAnsi"/>
          <w:color w:val="000000"/>
          <w:shd w:val="clear" w:color="auto" w:fill="FFFFFF"/>
        </w:rPr>
        <w:t xml:space="preserve">” to mean “desirable,” since we believe the notional </w:t>
      </w:r>
      <w:r w:rsidR="00210D99">
        <w:rPr>
          <w:rFonts w:asciiTheme="minorHAnsi" w:hAnsiTheme="minorHAnsi" w:cstheme="minorHAnsi"/>
          <w:color w:val="000000"/>
          <w:shd w:val="clear" w:color="auto" w:fill="FFFFFF"/>
        </w:rPr>
        <w:t>processor</w:t>
      </w:r>
      <w:r>
        <w:rPr>
          <w:rFonts w:asciiTheme="minorHAnsi" w:hAnsiTheme="minorHAnsi" w:cstheme="minorHAnsi"/>
          <w:color w:val="000000"/>
          <w:shd w:val="clear" w:color="auto" w:fill="FFFFFF"/>
        </w:rPr>
        <w:t xml:space="preserve"> would not engage in practices that </w:t>
      </w:r>
      <w:r w:rsidR="00CD5615">
        <w:rPr>
          <w:rFonts w:asciiTheme="minorHAnsi" w:hAnsiTheme="minorHAnsi" w:cstheme="minorHAnsi"/>
          <w:color w:val="000000"/>
          <w:shd w:val="clear" w:color="auto" w:fill="FFFFFF"/>
        </w:rPr>
        <w:t>lead to undesirable outcomes, even if they are feasible</w:t>
      </w:r>
      <w:r w:rsidR="00C62697">
        <w:rPr>
          <w:rFonts w:asciiTheme="minorHAnsi" w:hAnsiTheme="minorHAnsi" w:cstheme="minorHAnsi"/>
          <w:color w:val="000000"/>
          <w:shd w:val="clear" w:color="auto" w:fill="FFFFFF"/>
        </w:rPr>
        <w:t>.</w:t>
      </w:r>
    </w:p>
    <w:p w14:paraId="71498112" w14:textId="67CF00FF" w:rsidR="000275A1" w:rsidRDefault="001E6583" w:rsidP="000275A1">
      <w:pPr>
        <w:tabs>
          <w:tab w:val="num" w:pos="720"/>
        </w:tabs>
        <w:rPr>
          <w:rFonts w:cstheme="minorHAnsi"/>
        </w:rPr>
      </w:pPr>
      <w:r>
        <w:rPr>
          <w:rFonts w:eastAsia="Times New Roman" w:cstheme="minorHAnsi"/>
          <w:kern w:val="36"/>
        </w:rPr>
        <w:t>The desirability of foreign exchange hedging is material, because</w:t>
      </w:r>
      <w:r w:rsidR="000275A1">
        <w:rPr>
          <w:rFonts w:eastAsia="Times New Roman" w:cstheme="minorHAnsi"/>
          <w:kern w:val="36"/>
        </w:rPr>
        <w:t xml:space="preserve"> work undertaken by undergraduate students at Northwestern University in Chicago</w:t>
      </w:r>
      <w:r w:rsidR="000275A1">
        <w:rPr>
          <w:rStyle w:val="FootnoteReference"/>
          <w:rFonts w:eastAsia="Times New Roman" w:cstheme="minorHAnsi"/>
          <w:kern w:val="36"/>
        </w:rPr>
        <w:footnoteReference w:id="8"/>
      </w:r>
      <w:r w:rsidR="000275A1">
        <w:rPr>
          <w:rFonts w:eastAsia="Times New Roman" w:cstheme="minorHAnsi"/>
          <w:kern w:val="36"/>
        </w:rPr>
        <w:t xml:space="preserve"> </w:t>
      </w:r>
      <w:r w:rsidR="000275A1" w:rsidRPr="000275A1">
        <w:rPr>
          <w:rFonts w:cstheme="minorHAnsi"/>
        </w:rPr>
        <w:t>concluded that “</w:t>
      </w:r>
      <w:r w:rsidR="000E3969" w:rsidRPr="000E3969">
        <w:rPr>
          <w:rFonts w:eastAsia="Times New Roman" w:cstheme="minorHAnsi"/>
        </w:rPr>
        <w:t xml:space="preserve">Fonterra’s current hedging strategy is inconsistent with </w:t>
      </w:r>
      <w:r w:rsidR="00C62697">
        <w:rPr>
          <w:rFonts w:eastAsia="Times New Roman" w:cstheme="minorHAnsi"/>
        </w:rPr>
        <w:t xml:space="preserve">[their] </w:t>
      </w:r>
      <w:r w:rsidR="000E3969" w:rsidRPr="000E3969">
        <w:rPr>
          <w:rFonts w:eastAsia="Times New Roman" w:cstheme="minorHAnsi"/>
        </w:rPr>
        <w:t>goal of reducing volatility in revenue and prices paid to farmers</w:t>
      </w:r>
      <w:r w:rsidR="000275A1">
        <w:rPr>
          <w:rFonts w:cstheme="minorHAnsi"/>
        </w:rPr>
        <w:t>.</w:t>
      </w:r>
      <w:r w:rsidR="000275A1" w:rsidRPr="000275A1">
        <w:rPr>
          <w:rFonts w:cstheme="minorHAnsi"/>
        </w:rPr>
        <w:t xml:space="preserve">” </w:t>
      </w:r>
      <w:r w:rsidR="000275A1">
        <w:rPr>
          <w:rFonts w:cstheme="minorHAnsi"/>
        </w:rPr>
        <w:t>To the contrary, the students report that</w:t>
      </w:r>
      <w:r w:rsidR="000275A1" w:rsidRPr="000275A1">
        <w:rPr>
          <w:rFonts w:cstheme="minorHAnsi"/>
        </w:rPr>
        <w:t xml:space="preserve"> “</w:t>
      </w:r>
      <w:r w:rsidR="000E3969" w:rsidRPr="000275A1">
        <w:rPr>
          <w:rFonts w:cstheme="minorHAnsi"/>
        </w:rPr>
        <w:t>their hedging strategy sometimes amplifies the volatility of the exchange rate</w:t>
      </w:r>
      <w:r w:rsidR="000275A1" w:rsidRPr="000275A1">
        <w:rPr>
          <w:rFonts w:cstheme="minorHAnsi"/>
        </w:rPr>
        <w:t>.”</w:t>
      </w:r>
    </w:p>
    <w:p w14:paraId="7B38A986" w14:textId="47CC6607" w:rsidR="00724267" w:rsidRDefault="00724267" w:rsidP="000275A1">
      <w:pPr>
        <w:tabs>
          <w:tab w:val="num" w:pos="720"/>
        </w:tabs>
        <w:rPr>
          <w:rFonts w:cstheme="minorHAnsi"/>
        </w:rPr>
      </w:pPr>
    </w:p>
    <w:p w14:paraId="0772E733" w14:textId="62377D7A" w:rsidR="00724267" w:rsidRDefault="00724267" w:rsidP="000275A1">
      <w:pPr>
        <w:tabs>
          <w:tab w:val="num" w:pos="720"/>
        </w:tabs>
        <w:rPr>
          <w:rFonts w:cstheme="minorHAnsi"/>
        </w:rPr>
      </w:pPr>
      <w:r>
        <w:rPr>
          <w:rFonts w:cstheme="minorHAnsi"/>
        </w:rPr>
        <w:t xml:space="preserve">The amplification of the volatility can be explained by the (small) correlation between the New Zealand dollar and the milk price. A simplified explanation is as follows: if Fonterra hedge their foreign exchange on a rising </w:t>
      </w:r>
      <w:r w:rsidR="00E0471D">
        <w:rPr>
          <w:rFonts w:cstheme="minorHAnsi"/>
        </w:rPr>
        <w:t xml:space="preserve">USD </w:t>
      </w:r>
      <w:r>
        <w:rPr>
          <w:rFonts w:cstheme="minorHAnsi"/>
        </w:rPr>
        <w:t xml:space="preserve">milk price, the correlated rise in the </w:t>
      </w:r>
      <w:proofErr w:type="gramStart"/>
      <w:r>
        <w:rPr>
          <w:rFonts w:cstheme="minorHAnsi"/>
        </w:rPr>
        <w:t>NZD:USD</w:t>
      </w:r>
      <w:proofErr w:type="gramEnd"/>
      <w:r>
        <w:rPr>
          <w:rFonts w:cstheme="minorHAnsi"/>
        </w:rPr>
        <w:t xml:space="preserve"> exchange rate will lead to a positive payoff in New Zealand dollars from the hedge, thus increasing the Farmgate Milk Price. In the opposite case, hedging on a falling </w:t>
      </w:r>
      <w:r w:rsidR="00E0471D">
        <w:rPr>
          <w:rFonts w:cstheme="minorHAnsi"/>
        </w:rPr>
        <w:t xml:space="preserve">USD </w:t>
      </w:r>
      <w:r>
        <w:rPr>
          <w:rFonts w:cstheme="minorHAnsi"/>
        </w:rPr>
        <w:t>milk price will lead to a negative payoff in New Zealand dollars from the hedge, thus decreasing the Farmgate Milk Price.</w:t>
      </w:r>
    </w:p>
    <w:p w14:paraId="3902EBF1" w14:textId="77777777" w:rsidR="000275A1" w:rsidRDefault="000275A1" w:rsidP="000275A1">
      <w:pPr>
        <w:tabs>
          <w:tab w:val="num" w:pos="720"/>
        </w:tabs>
        <w:rPr>
          <w:rFonts w:cstheme="minorHAnsi"/>
        </w:rPr>
      </w:pPr>
    </w:p>
    <w:p w14:paraId="663459E3" w14:textId="0B662DC7" w:rsidR="001E6583" w:rsidRDefault="000275A1" w:rsidP="001E6583">
      <w:pPr>
        <w:tabs>
          <w:tab w:val="num" w:pos="720"/>
        </w:tabs>
        <w:rPr>
          <w:rFonts w:eastAsia="Times New Roman" w:cstheme="minorHAnsi"/>
          <w:kern w:val="36"/>
        </w:rPr>
      </w:pPr>
      <w:r w:rsidRPr="000275A1">
        <w:rPr>
          <w:rFonts w:cstheme="minorHAnsi"/>
        </w:rPr>
        <w:t>However, the students noted that “</w:t>
      </w:r>
      <w:r w:rsidR="000E3969" w:rsidRPr="000E3969">
        <w:rPr>
          <w:rFonts w:eastAsia="Times New Roman" w:cstheme="minorHAnsi"/>
        </w:rPr>
        <w:t>there were some limitations that may have affected our analysis and findings</w:t>
      </w:r>
      <w:r w:rsidR="00C62697">
        <w:rPr>
          <w:rFonts w:eastAsia="Times New Roman" w:cstheme="minorHAnsi"/>
        </w:rPr>
        <w:t>,</w:t>
      </w:r>
      <w:r w:rsidRPr="000275A1">
        <w:rPr>
          <w:rFonts w:cstheme="minorHAnsi"/>
        </w:rPr>
        <w:t>” including a “</w:t>
      </w:r>
      <w:r w:rsidR="000E3969" w:rsidRPr="000E3969">
        <w:rPr>
          <w:rFonts w:eastAsia="Times New Roman" w:cstheme="minorHAnsi"/>
        </w:rPr>
        <w:t>small sample size</w:t>
      </w:r>
      <w:r w:rsidRPr="000275A1">
        <w:rPr>
          <w:rFonts w:cstheme="minorHAnsi"/>
        </w:rPr>
        <w:t>” and the fact that “</w:t>
      </w:r>
      <w:r w:rsidR="000E3969" w:rsidRPr="000E3969">
        <w:rPr>
          <w:rFonts w:eastAsia="Times New Roman" w:cstheme="minorHAnsi"/>
        </w:rPr>
        <w:t>Fonterra’s financial statements are particularly vague with respect to describing their hedging strategy</w:t>
      </w:r>
      <w:r w:rsidRPr="000275A1">
        <w:rPr>
          <w:rFonts w:cstheme="minorHAnsi"/>
        </w:rPr>
        <w:t>.”</w:t>
      </w:r>
      <w:r w:rsidR="001E6583">
        <w:rPr>
          <w:rFonts w:eastAsia="Times New Roman" w:cstheme="minorHAnsi"/>
          <w:kern w:val="36"/>
        </w:rPr>
        <w:t xml:space="preserve"> </w:t>
      </w:r>
      <w:r>
        <w:rPr>
          <w:rFonts w:eastAsia="Times New Roman" w:cstheme="minorHAnsi"/>
          <w:kern w:val="36"/>
        </w:rPr>
        <w:t xml:space="preserve">These limitations suggest a cautious approach to interpreting the underlying conclusion (that hedging increases volatility); however, it reinforces the view that </w:t>
      </w:r>
      <w:r>
        <w:rPr>
          <w:rFonts w:eastAsia="Times New Roman" w:cstheme="minorHAnsi"/>
          <w:i/>
          <w:iCs/>
          <w:kern w:val="36"/>
        </w:rPr>
        <w:t>more</w:t>
      </w:r>
      <w:r>
        <w:rPr>
          <w:rFonts w:eastAsia="Times New Roman" w:cstheme="minorHAnsi"/>
          <w:kern w:val="36"/>
        </w:rPr>
        <w:t xml:space="preserve"> transparency is sorely needed.</w:t>
      </w:r>
    </w:p>
    <w:p w14:paraId="78816B65" w14:textId="56E07E28" w:rsidR="00724267" w:rsidRDefault="001E6583" w:rsidP="00724267">
      <w:pPr>
        <w:pStyle w:val="NormalWeb"/>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In light of the findings by the students, it is not apparent that a </w:t>
      </w:r>
      <w:r w:rsidR="00210D99">
        <w:rPr>
          <w:rFonts w:asciiTheme="minorHAnsi" w:hAnsiTheme="minorHAnsi" w:cstheme="minorHAnsi"/>
          <w:color w:val="000000"/>
          <w:shd w:val="clear" w:color="auto" w:fill="FFFFFF"/>
        </w:rPr>
        <w:t>n</w:t>
      </w:r>
      <w:r>
        <w:rPr>
          <w:rFonts w:asciiTheme="minorHAnsi" w:hAnsiTheme="minorHAnsi" w:cstheme="minorHAnsi"/>
          <w:color w:val="000000"/>
          <w:shd w:val="clear" w:color="auto" w:fill="FFFFFF"/>
        </w:rPr>
        <w:t xml:space="preserve">otional </w:t>
      </w:r>
      <w:r w:rsidR="00210D99">
        <w:rPr>
          <w:rFonts w:asciiTheme="minorHAnsi" w:hAnsiTheme="minorHAnsi" w:cstheme="minorHAnsi"/>
          <w:color w:val="000000"/>
          <w:shd w:val="clear" w:color="auto" w:fill="FFFFFF"/>
        </w:rPr>
        <w:t>p</w:t>
      </w:r>
      <w:r>
        <w:rPr>
          <w:rFonts w:asciiTheme="minorHAnsi" w:hAnsiTheme="minorHAnsi" w:cstheme="minorHAnsi"/>
          <w:color w:val="000000"/>
          <w:shd w:val="clear" w:color="auto" w:fill="FFFFFF"/>
        </w:rPr>
        <w:t>ro</w:t>
      </w:r>
      <w:r w:rsidR="00210D99">
        <w:rPr>
          <w:rFonts w:asciiTheme="minorHAnsi" w:hAnsiTheme="minorHAnsi" w:cstheme="minorHAnsi"/>
          <w:color w:val="000000"/>
          <w:shd w:val="clear" w:color="auto" w:fill="FFFFFF"/>
        </w:rPr>
        <w:t>cesso</w:t>
      </w:r>
      <w:r>
        <w:rPr>
          <w:rFonts w:asciiTheme="minorHAnsi" w:hAnsiTheme="minorHAnsi" w:cstheme="minorHAnsi"/>
          <w:color w:val="000000"/>
          <w:shd w:val="clear" w:color="auto" w:fill="FFFFFF"/>
        </w:rPr>
        <w:t xml:space="preserve">r </w:t>
      </w:r>
      <w:r w:rsidR="00210D99">
        <w:rPr>
          <w:rFonts w:asciiTheme="minorHAnsi" w:hAnsiTheme="minorHAnsi" w:cstheme="minorHAnsi"/>
          <w:color w:val="000000"/>
          <w:shd w:val="clear" w:color="auto" w:fill="FFFFFF"/>
        </w:rPr>
        <w:t xml:space="preserve">(or other independent processors) </w:t>
      </w:r>
      <w:r>
        <w:rPr>
          <w:rFonts w:asciiTheme="minorHAnsi" w:hAnsiTheme="minorHAnsi" w:cstheme="minorHAnsi"/>
          <w:color w:val="000000"/>
          <w:shd w:val="clear" w:color="auto" w:fill="FFFFFF"/>
        </w:rPr>
        <w:t>would engage in foreign exchange hedging</w:t>
      </w:r>
      <w:r w:rsidR="00724267">
        <w:rPr>
          <w:rFonts w:asciiTheme="minorHAnsi" w:hAnsiTheme="minorHAnsi" w:cstheme="minorHAnsi"/>
          <w:color w:val="000000"/>
          <w:shd w:val="clear" w:color="auto" w:fill="FFFFFF"/>
        </w:rPr>
        <w:t xml:space="preserve">, </w:t>
      </w:r>
      <w:r w:rsidR="00724267">
        <w:rPr>
          <w:rFonts w:asciiTheme="minorHAnsi" w:hAnsiTheme="minorHAnsi" w:cstheme="minorHAnsi"/>
          <w:i/>
          <w:iCs/>
          <w:color w:val="000000"/>
          <w:shd w:val="clear" w:color="auto" w:fill="FFFFFF"/>
        </w:rPr>
        <w:t xml:space="preserve">as practiced by Fonterra </w:t>
      </w:r>
      <w:r w:rsidR="00724267">
        <w:rPr>
          <w:rFonts w:asciiTheme="minorHAnsi" w:hAnsiTheme="minorHAnsi" w:cstheme="minorHAnsi"/>
          <w:i/>
          <w:iCs/>
          <w:color w:val="000000"/>
          <w:shd w:val="clear" w:color="auto" w:fill="FFFFFF"/>
        </w:rPr>
        <w:lastRenderedPageBreak/>
        <w:t>over the last decade</w:t>
      </w:r>
      <w:r>
        <w:rPr>
          <w:rFonts w:asciiTheme="minorHAnsi" w:hAnsiTheme="minorHAnsi" w:cstheme="minorHAnsi"/>
          <w:color w:val="000000"/>
          <w:shd w:val="clear" w:color="auto" w:fill="FFFFFF"/>
        </w:rPr>
        <w:t xml:space="preserve">. </w:t>
      </w:r>
      <w:r w:rsidR="00724267">
        <w:rPr>
          <w:rFonts w:asciiTheme="minorHAnsi" w:hAnsiTheme="minorHAnsi" w:cstheme="minorHAnsi"/>
          <w:color w:val="000000"/>
          <w:shd w:val="clear" w:color="auto" w:fill="FFFFFF"/>
        </w:rPr>
        <w:t xml:space="preserve">This is particularly relevant because, as discussed above, Fonterra have removed their justification and (vague) methodology from the 2019 Farmgate Milk Price Statement. </w:t>
      </w:r>
    </w:p>
    <w:p w14:paraId="3A3125A5" w14:textId="241CE921" w:rsidR="00CD5615" w:rsidRDefault="00CD5615" w:rsidP="00724267">
      <w:pPr>
        <w:pStyle w:val="NormalWeb"/>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It is important to note that in general, there are valid reasons for processors to engage in risk-management strategies as they apply to their foreign currency exposure. However, the exact mechanism and level of hedging is not “one-size-fits all” and will depend upon the risk appetite of each processor.</w:t>
      </w:r>
    </w:p>
    <w:p w14:paraId="4381F271" w14:textId="2677C7FA" w:rsidR="00CD5615" w:rsidRDefault="00724267" w:rsidP="00724267">
      <w:pPr>
        <w:pStyle w:val="NormalWeb"/>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Thus, in our view</w:t>
      </w:r>
      <w:r w:rsidR="008E76A7">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t</w:t>
      </w:r>
      <w:r w:rsidR="001E6583">
        <w:rPr>
          <w:rFonts w:asciiTheme="minorHAnsi" w:hAnsiTheme="minorHAnsi" w:cstheme="minorHAnsi"/>
          <w:color w:val="000000"/>
          <w:shd w:val="clear" w:color="auto" w:fill="FFFFFF"/>
        </w:rPr>
        <w:t xml:space="preserve">he mechanisms by which the </w:t>
      </w:r>
      <w:r w:rsidR="005F1BAB">
        <w:rPr>
          <w:rFonts w:asciiTheme="minorHAnsi" w:hAnsiTheme="minorHAnsi" w:cstheme="minorHAnsi"/>
          <w:color w:val="000000"/>
          <w:shd w:val="clear" w:color="auto" w:fill="FFFFFF"/>
        </w:rPr>
        <w:t>n</w:t>
      </w:r>
      <w:r w:rsidR="001E6583">
        <w:rPr>
          <w:rFonts w:asciiTheme="minorHAnsi" w:hAnsiTheme="minorHAnsi" w:cstheme="minorHAnsi"/>
          <w:color w:val="000000"/>
          <w:shd w:val="clear" w:color="auto" w:fill="FFFFFF"/>
        </w:rPr>
        <w:t xml:space="preserve">otional </w:t>
      </w:r>
      <w:r w:rsidR="005F1BAB">
        <w:rPr>
          <w:rFonts w:asciiTheme="minorHAnsi" w:hAnsiTheme="minorHAnsi" w:cstheme="minorHAnsi"/>
          <w:color w:val="000000"/>
          <w:shd w:val="clear" w:color="auto" w:fill="FFFFFF"/>
        </w:rPr>
        <w:t>p</w:t>
      </w:r>
      <w:r w:rsidR="00210D99">
        <w:rPr>
          <w:rFonts w:asciiTheme="minorHAnsi" w:hAnsiTheme="minorHAnsi" w:cstheme="minorHAnsi"/>
          <w:color w:val="000000"/>
          <w:shd w:val="clear" w:color="auto" w:fill="FFFFFF"/>
        </w:rPr>
        <w:t>rocessor</w:t>
      </w:r>
      <w:r w:rsidR="001E6583">
        <w:rPr>
          <w:rFonts w:asciiTheme="minorHAnsi" w:hAnsiTheme="minorHAnsi" w:cstheme="minorHAnsi"/>
          <w:color w:val="000000"/>
          <w:shd w:val="clear" w:color="auto" w:fill="FFFFFF"/>
        </w:rPr>
        <w:t xml:space="preserve"> is assumed to hedge their foreign exchange</w:t>
      </w:r>
      <w:r>
        <w:rPr>
          <w:rFonts w:asciiTheme="minorHAnsi" w:hAnsiTheme="minorHAnsi" w:cstheme="minorHAnsi"/>
          <w:color w:val="000000"/>
          <w:shd w:val="clear" w:color="auto" w:fill="FFFFFF"/>
        </w:rPr>
        <w:t>, and their reasons for doing so,</w:t>
      </w:r>
      <w:r w:rsidR="001E6583">
        <w:rPr>
          <w:rFonts w:asciiTheme="minorHAnsi" w:hAnsiTheme="minorHAnsi" w:cstheme="minorHAnsi"/>
          <w:color w:val="000000"/>
          <w:shd w:val="clear" w:color="auto" w:fill="FFFFFF"/>
        </w:rPr>
        <w:t xml:space="preserve"> is a material matter inside the scope of the Manual.</w:t>
      </w:r>
    </w:p>
    <w:p w14:paraId="588863CD" w14:textId="24C998DB" w:rsidR="00210D99" w:rsidRDefault="00210D99" w:rsidP="00724267">
      <w:pPr>
        <w:pStyle w:val="NormalWeb"/>
        <w:rPr>
          <w:rFonts w:asciiTheme="minorHAnsi" w:hAnsiTheme="minorHAnsi" w:cstheme="minorHAnsi"/>
          <w:b/>
          <w:bCs/>
          <w:color w:val="01579B"/>
          <w:kern w:val="36"/>
        </w:rPr>
      </w:pPr>
      <w:r w:rsidRPr="00210D99">
        <w:rPr>
          <w:rFonts w:asciiTheme="minorHAnsi" w:hAnsiTheme="minorHAnsi" w:cstheme="minorHAnsi"/>
          <w:b/>
          <w:bCs/>
          <w:color w:val="01579B"/>
          <w:kern w:val="36"/>
        </w:rPr>
        <w:t xml:space="preserve">Removing </w:t>
      </w:r>
      <w:r>
        <w:rPr>
          <w:rFonts w:asciiTheme="minorHAnsi" w:hAnsiTheme="minorHAnsi" w:cstheme="minorHAnsi"/>
          <w:b/>
          <w:bCs/>
          <w:color w:val="01579B"/>
          <w:kern w:val="36"/>
        </w:rPr>
        <w:t>foreign exchange hedging from the Manual</w:t>
      </w:r>
    </w:p>
    <w:p w14:paraId="34740796" w14:textId="078660C9" w:rsidR="00210D99" w:rsidRDefault="00CD5615" w:rsidP="00724267">
      <w:pPr>
        <w:pStyle w:val="NormalWeb"/>
        <w:rPr>
          <w:rFonts w:asciiTheme="minorHAnsi" w:hAnsiTheme="minorHAnsi" w:cstheme="minorHAnsi"/>
        </w:rPr>
      </w:pPr>
      <w:r>
        <w:rPr>
          <w:rFonts w:asciiTheme="minorHAnsi" w:hAnsiTheme="minorHAnsi" w:cstheme="minorHAnsi"/>
        </w:rPr>
        <w:t xml:space="preserve">The previous two sections lead us to question the utility of including the hedged exchange rate in the Manual. In fact, </w:t>
      </w:r>
      <w:r w:rsidR="00210D99">
        <w:rPr>
          <w:rFonts w:asciiTheme="minorHAnsi" w:hAnsiTheme="minorHAnsi" w:cstheme="minorHAnsi"/>
        </w:rPr>
        <w:t>Section 150B(c) of the Act allows, but does not require, the base milk price to include gains and losses from foreign exchange fluctuations.</w:t>
      </w:r>
    </w:p>
    <w:p w14:paraId="605E7785" w14:textId="479F6019" w:rsidR="00210D99" w:rsidRPr="002350A8" w:rsidRDefault="00CD5615" w:rsidP="00724267">
      <w:pPr>
        <w:pStyle w:val="NormalWeb"/>
        <w:rPr>
          <w:rFonts w:asciiTheme="minorHAnsi" w:hAnsiTheme="minorHAnsi" w:cstheme="minorHAnsi"/>
          <w:b/>
          <w:bCs/>
        </w:rPr>
      </w:pPr>
      <w:r w:rsidRPr="002350A8">
        <w:rPr>
          <w:rFonts w:asciiTheme="minorHAnsi" w:hAnsiTheme="minorHAnsi" w:cstheme="minorHAnsi"/>
          <w:b/>
          <w:bCs/>
        </w:rPr>
        <w:t>Therefore, w</w:t>
      </w:r>
      <w:r w:rsidR="00210D99" w:rsidRPr="002350A8">
        <w:rPr>
          <w:rFonts w:asciiTheme="minorHAnsi" w:hAnsiTheme="minorHAnsi" w:cstheme="minorHAnsi"/>
          <w:b/>
          <w:bCs/>
        </w:rPr>
        <w:t>e suggest that the Commission explore the implications of removing th</w:t>
      </w:r>
      <w:r w:rsidR="004E22A6" w:rsidRPr="002350A8">
        <w:rPr>
          <w:rFonts w:asciiTheme="minorHAnsi" w:hAnsiTheme="minorHAnsi" w:cstheme="minorHAnsi"/>
          <w:b/>
          <w:bCs/>
        </w:rPr>
        <w:t>e</w:t>
      </w:r>
      <w:r w:rsidR="00210D99" w:rsidRPr="002350A8">
        <w:rPr>
          <w:rFonts w:asciiTheme="minorHAnsi" w:hAnsiTheme="minorHAnsi" w:cstheme="minorHAnsi"/>
          <w:b/>
          <w:bCs/>
        </w:rPr>
        <w:t xml:space="preserve"> provision </w:t>
      </w:r>
      <w:r w:rsidR="004E22A6" w:rsidRPr="002350A8">
        <w:rPr>
          <w:rFonts w:asciiTheme="minorHAnsi" w:hAnsiTheme="minorHAnsi" w:cstheme="minorHAnsi"/>
          <w:b/>
          <w:bCs/>
        </w:rPr>
        <w:t xml:space="preserve">for incorporating gains and losses from the hedged exchange rate </w:t>
      </w:r>
      <w:r w:rsidR="00210D99" w:rsidRPr="002350A8">
        <w:rPr>
          <w:rFonts w:asciiTheme="minorHAnsi" w:hAnsiTheme="minorHAnsi" w:cstheme="minorHAnsi"/>
          <w:b/>
          <w:bCs/>
        </w:rPr>
        <w:t>from the Manual.</w:t>
      </w:r>
    </w:p>
    <w:p w14:paraId="23A8469F" w14:textId="5942149B" w:rsidR="00210D99" w:rsidRDefault="00210D99" w:rsidP="00724267">
      <w:pPr>
        <w:pStyle w:val="NormalWeb"/>
        <w:rPr>
          <w:rFonts w:asciiTheme="minorHAnsi" w:hAnsiTheme="minorHAnsi" w:cstheme="minorHAnsi"/>
        </w:rPr>
      </w:pPr>
      <w:r>
        <w:rPr>
          <w:rFonts w:asciiTheme="minorHAnsi" w:hAnsiTheme="minorHAnsi" w:cstheme="minorHAnsi"/>
        </w:rPr>
        <w:t>This has three main benefits:</w:t>
      </w:r>
      <w:bookmarkStart w:id="0" w:name="_GoBack"/>
      <w:bookmarkEnd w:id="0"/>
    </w:p>
    <w:p w14:paraId="2CB72F51" w14:textId="0D01687B" w:rsidR="00210D99" w:rsidRDefault="006E6D54" w:rsidP="00191A4E">
      <w:pPr>
        <w:pStyle w:val="NormalWeb"/>
        <w:numPr>
          <w:ilvl w:val="0"/>
          <w:numId w:val="15"/>
        </w:numPr>
        <w:rPr>
          <w:rFonts w:asciiTheme="minorHAnsi" w:hAnsiTheme="minorHAnsi" w:cstheme="minorHAnsi"/>
        </w:rPr>
      </w:pPr>
      <w:r>
        <w:rPr>
          <w:rFonts w:asciiTheme="minorHAnsi" w:hAnsiTheme="minorHAnsi" w:cstheme="minorHAnsi"/>
        </w:rPr>
        <w:t>i</w:t>
      </w:r>
      <w:r w:rsidR="00210D99">
        <w:rPr>
          <w:rFonts w:asciiTheme="minorHAnsi" w:hAnsiTheme="minorHAnsi" w:cstheme="minorHAnsi"/>
        </w:rPr>
        <w:t xml:space="preserve">t simplifies the calculation of the Farmgate Milk </w:t>
      </w:r>
      <w:r w:rsidR="004E22A6">
        <w:rPr>
          <w:rFonts w:asciiTheme="minorHAnsi" w:hAnsiTheme="minorHAnsi" w:cstheme="minorHAnsi"/>
        </w:rPr>
        <w:t>P</w:t>
      </w:r>
      <w:r w:rsidR="00210D99">
        <w:rPr>
          <w:rFonts w:asciiTheme="minorHAnsi" w:hAnsiTheme="minorHAnsi" w:cstheme="minorHAnsi"/>
        </w:rPr>
        <w:t>rice</w:t>
      </w:r>
      <w:r>
        <w:rPr>
          <w:rFonts w:asciiTheme="minorHAnsi" w:hAnsiTheme="minorHAnsi" w:cstheme="minorHAnsi"/>
        </w:rPr>
        <w:t>;</w:t>
      </w:r>
    </w:p>
    <w:p w14:paraId="6CB31FEC" w14:textId="24984E4C" w:rsidR="00210D99" w:rsidRDefault="006E6D54" w:rsidP="00191A4E">
      <w:pPr>
        <w:pStyle w:val="NormalWeb"/>
        <w:numPr>
          <w:ilvl w:val="0"/>
          <w:numId w:val="15"/>
        </w:numPr>
        <w:rPr>
          <w:rFonts w:asciiTheme="minorHAnsi" w:hAnsiTheme="minorHAnsi" w:cstheme="minorHAnsi"/>
        </w:rPr>
      </w:pPr>
      <w:r>
        <w:rPr>
          <w:rFonts w:asciiTheme="minorHAnsi" w:hAnsiTheme="minorHAnsi" w:cstheme="minorHAnsi"/>
        </w:rPr>
        <w:t>i</w:t>
      </w:r>
      <w:r w:rsidR="00210D99">
        <w:rPr>
          <w:rFonts w:asciiTheme="minorHAnsi" w:hAnsiTheme="minorHAnsi" w:cstheme="minorHAnsi"/>
        </w:rPr>
        <w:t>t obviates the need for transparency relating to foreign exchange hedging</w:t>
      </w:r>
      <w:r>
        <w:rPr>
          <w:rFonts w:asciiTheme="minorHAnsi" w:hAnsiTheme="minorHAnsi" w:cstheme="minorHAnsi"/>
        </w:rPr>
        <w:t>; and</w:t>
      </w:r>
    </w:p>
    <w:p w14:paraId="43289CB5" w14:textId="666DFD39" w:rsidR="00210D99" w:rsidRDefault="006E6D54" w:rsidP="00191A4E">
      <w:pPr>
        <w:pStyle w:val="NormalWeb"/>
        <w:numPr>
          <w:ilvl w:val="0"/>
          <w:numId w:val="15"/>
        </w:numPr>
        <w:rPr>
          <w:rFonts w:asciiTheme="minorHAnsi" w:hAnsiTheme="minorHAnsi" w:cstheme="minorHAnsi"/>
        </w:rPr>
      </w:pPr>
      <w:r>
        <w:rPr>
          <w:rFonts w:asciiTheme="minorHAnsi" w:hAnsiTheme="minorHAnsi" w:cstheme="minorHAnsi"/>
        </w:rPr>
        <w:t>i</w:t>
      </w:r>
      <w:r w:rsidR="00210D99">
        <w:rPr>
          <w:rFonts w:asciiTheme="minorHAnsi" w:hAnsiTheme="minorHAnsi" w:cstheme="minorHAnsi"/>
        </w:rPr>
        <w:t xml:space="preserve">t allows Fonterra (and other independent processors) to assume a different risk profile to the </w:t>
      </w:r>
      <w:r w:rsidR="005F1BAB">
        <w:rPr>
          <w:rFonts w:asciiTheme="minorHAnsi" w:hAnsiTheme="minorHAnsi" w:cstheme="minorHAnsi"/>
        </w:rPr>
        <w:t>n</w:t>
      </w:r>
      <w:r w:rsidR="00210D99">
        <w:rPr>
          <w:rFonts w:asciiTheme="minorHAnsi" w:hAnsiTheme="minorHAnsi" w:cstheme="minorHAnsi"/>
        </w:rPr>
        <w:t xml:space="preserve">otional </w:t>
      </w:r>
      <w:r w:rsidR="005F1BAB">
        <w:rPr>
          <w:rFonts w:asciiTheme="minorHAnsi" w:hAnsiTheme="minorHAnsi" w:cstheme="minorHAnsi"/>
        </w:rPr>
        <w:t>p</w:t>
      </w:r>
      <w:r w:rsidR="00210D99">
        <w:rPr>
          <w:rFonts w:asciiTheme="minorHAnsi" w:hAnsiTheme="minorHAnsi" w:cstheme="minorHAnsi"/>
        </w:rPr>
        <w:t>rocessor.</w:t>
      </w:r>
    </w:p>
    <w:p w14:paraId="373CF9DE" w14:textId="24F0835B" w:rsidR="00CD5615" w:rsidRPr="00191A4E" w:rsidRDefault="00CD5615" w:rsidP="00CD5615">
      <w:pPr>
        <w:pStyle w:val="NormalWeb"/>
        <w:rPr>
          <w:rFonts w:asciiTheme="minorHAnsi" w:hAnsiTheme="minorHAnsi" w:cstheme="minorHAnsi"/>
        </w:rPr>
      </w:pPr>
      <w:r>
        <w:rPr>
          <w:rFonts w:asciiTheme="minorHAnsi" w:hAnsiTheme="minorHAnsi" w:cstheme="minorHAnsi"/>
        </w:rPr>
        <w:t xml:space="preserve">The Commission could justify the removal on the basis that foreign exchange hedging </w:t>
      </w:r>
      <w:r w:rsidR="006E6D54">
        <w:rPr>
          <w:rFonts w:asciiTheme="minorHAnsi" w:hAnsiTheme="minorHAnsi" w:cstheme="minorHAnsi"/>
        </w:rPr>
        <w:t xml:space="preserve">as undertaken by Fonterra </w:t>
      </w:r>
      <w:r>
        <w:rPr>
          <w:rFonts w:asciiTheme="minorHAnsi" w:hAnsiTheme="minorHAnsi" w:cstheme="minorHAnsi"/>
        </w:rPr>
        <w:t xml:space="preserve">is not necessarily </w:t>
      </w:r>
      <w:r w:rsidR="00191A4E">
        <w:rPr>
          <w:rFonts w:asciiTheme="minorHAnsi" w:hAnsiTheme="minorHAnsi" w:cstheme="minorHAnsi"/>
        </w:rPr>
        <w:t xml:space="preserve">needed nor </w:t>
      </w:r>
      <w:r>
        <w:rPr>
          <w:rFonts w:asciiTheme="minorHAnsi" w:hAnsiTheme="minorHAnsi" w:cstheme="minorHAnsi"/>
        </w:rPr>
        <w:t>desirable for an efficient processor.</w:t>
      </w:r>
    </w:p>
    <w:p w14:paraId="1CAB282A" w14:textId="672BE72B" w:rsidR="006E6D54" w:rsidRPr="00210D99" w:rsidRDefault="00CD5615" w:rsidP="00CD5615">
      <w:pPr>
        <w:pStyle w:val="NormalWeb"/>
        <w:rPr>
          <w:rFonts w:asciiTheme="minorHAnsi" w:hAnsiTheme="minorHAnsi" w:cstheme="minorHAnsi"/>
        </w:rPr>
      </w:pPr>
      <w:r w:rsidRPr="00191A4E">
        <w:rPr>
          <w:rFonts w:asciiTheme="minorHAnsi" w:hAnsiTheme="minorHAnsi" w:cstheme="minorHAnsi"/>
        </w:rPr>
        <w:t xml:space="preserve">Moreover, </w:t>
      </w:r>
      <w:r w:rsidR="00191A4E" w:rsidRPr="00191A4E">
        <w:rPr>
          <w:rFonts w:asciiTheme="minorHAnsi" w:hAnsiTheme="minorHAnsi" w:cstheme="minorHAnsi"/>
        </w:rPr>
        <w:t xml:space="preserve">the current </w:t>
      </w:r>
      <w:r w:rsidR="00191A4E">
        <w:rPr>
          <w:rFonts w:asciiTheme="minorHAnsi" w:hAnsiTheme="minorHAnsi" w:cstheme="minorHAnsi"/>
        </w:rPr>
        <w:t>approach</w:t>
      </w:r>
      <w:r w:rsidR="00191A4E" w:rsidRPr="00191A4E">
        <w:rPr>
          <w:rFonts w:asciiTheme="minorHAnsi" w:hAnsiTheme="minorHAnsi" w:cstheme="minorHAnsi"/>
        </w:rPr>
        <w:t xml:space="preserve"> is in violation of Principle 3 of the Manual</w:t>
      </w:r>
      <w:r w:rsidR="00191A4E">
        <w:rPr>
          <w:rStyle w:val="FootnoteReference"/>
          <w:rFonts w:asciiTheme="minorHAnsi" w:hAnsiTheme="minorHAnsi" w:cstheme="minorHAnsi"/>
        </w:rPr>
        <w:footnoteReference w:id="9"/>
      </w:r>
      <w:r w:rsidR="00191A4E" w:rsidRPr="00191A4E">
        <w:rPr>
          <w:rFonts w:asciiTheme="minorHAnsi" w:hAnsiTheme="minorHAnsi" w:cstheme="minorHAnsi"/>
        </w:rPr>
        <w:t>, which calls for “</w:t>
      </w:r>
      <w:r w:rsidR="00191A4E" w:rsidRPr="00191A4E">
        <w:rPr>
          <w:rFonts w:asciiTheme="minorHAnsi" w:hAnsiTheme="minorHAnsi" w:cstheme="minorHAnsi"/>
        </w:rPr>
        <w:t>changes in foreign currency exchange rates</w:t>
      </w:r>
      <w:r w:rsidR="00191A4E">
        <w:rPr>
          <w:rFonts w:asciiTheme="minorHAnsi" w:hAnsiTheme="minorHAnsi" w:cstheme="minorHAnsi"/>
        </w:rPr>
        <w:t>…</w:t>
      </w:r>
      <w:r w:rsidR="00191A4E" w:rsidRPr="00191A4E">
        <w:rPr>
          <w:rFonts w:asciiTheme="minorHAnsi" w:hAnsiTheme="minorHAnsi" w:cstheme="minorHAnsi"/>
        </w:rPr>
        <w:t xml:space="preserve"> to pass through to the Farmgate Milk Price (as suppliers have better incentives and capabilities to manage these types of risks</w:t>
      </w:r>
      <w:r w:rsidR="00191A4E" w:rsidRPr="00191A4E">
        <w:rPr>
          <w:rFonts w:asciiTheme="minorHAnsi" w:hAnsiTheme="minorHAnsi" w:cstheme="minorHAnsi"/>
        </w:rPr>
        <w:t>).”</w:t>
      </w:r>
      <w:r w:rsidR="00191A4E">
        <w:rPr>
          <w:rFonts w:asciiTheme="minorHAnsi" w:hAnsiTheme="minorHAnsi" w:cstheme="minorHAnsi"/>
        </w:rPr>
        <w:t xml:space="preserve"> As a large multi-national, it is Fonterra, not farmers who have the ability to better manage foreign exchange rate risk. Thus, the financial implications of hedging should flow through into the earnings rather than the Farmgate Milk Price.</w:t>
      </w:r>
      <w:r w:rsidR="008E6FE0">
        <w:rPr>
          <w:rFonts w:asciiTheme="minorHAnsi" w:hAnsiTheme="minorHAnsi" w:cstheme="minorHAnsi"/>
        </w:rPr>
        <w:br/>
      </w:r>
      <w:r w:rsidR="008E6FE0">
        <w:rPr>
          <w:rFonts w:asciiTheme="minorHAnsi" w:hAnsiTheme="minorHAnsi" w:cstheme="minorHAnsi"/>
        </w:rPr>
        <w:br/>
      </w:r>
      <w:r w:rsidR="006E6D54">
        <w:rPr>
          <w:rFonts w:asciiTheme="minorHAnsi" w:hAnsiTheme="minorHAnsi" w:cstheme="minorHAnsi"/>
        </w:rPr>
        <w:t>We look forward to hearing the Commission’s thoughts on the topics raised in our submission.</w:t>
      </w:r>
      <w:r w:rsidR="00967E02">
        <w:rPr>
          <w:rFonts w:asciiTheme="minorHAnsi" w:hAnsiTheme="minorHAnsi" w:cstheme="minorHAnsi"/>
        </w:rPr>
        <w:br/>
      </w:r>
      <w:r w:rsidR="00967E02" w:rsidRPr="00967E02">
        <w:rPr>
          <w:rFonts w:asciiTheme="minorHAnsi" w:hAnsiTheme="minorHAnsi" w:cstheme="minorHAnsi"/>
          <w:sz w:val="20"/>
          <w:szCs w:val="20"/>
        </w:rPr>
        <w:br/>
      </w:r>
      <w:r w:rsidR="006E6D54">
        <w:rPr>
          <w:rFonts w:asciiTheme="minorHAnsi" w:hAnsiTheme="minorHAnsi" w:cstheme="minorHAnsi"/>
        </w:rPr>
        <w:t>Dr. Oscar Dowson</w:t>
      </w:r>
    </w:p>
    <w:sectPr w:rsidR="006E6D54" w:rsidRPr="00210D99" w:rsidSect="00A6262F">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AD00" w14:textId="77777777" w:rsidR="008F72A7" w:rsidRDefault="008F72A7" w:rsidP="009B37BC">
      <w:r>
        <w:separator/>
      </w:r>
    </w:p>
  </w:endnote>
  <w:endnote w:type="continuationSeparator" w:id="0">
    <w:p w14:paraId="68C56A34" w14:textId="77777777" w:rsidR="008F72A7" w:rsidRDefault="008F72A7" w:rsidP="009B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5651221"/>
      <w:docPartObj>
        <w:docPartGallery w:val="Page Numbers (Bottom of Page)"/>
        <w:docPartUnique/>
      </w:docPartObj>
    </w:sdtPr>
    <w:sdtContent>
      <w:p w14:paraId="1D96EB3A" w14:textId="1FAD6AA1" w:rsidR="00191A4E" w:rsidRDefault="00191A4E" w:rsidP="00604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1322E0" w14:textId="77777777" w:rsidR="00191A4E" w:rsidRDefault="00191A4E" w:rsidP="00191A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4680095"/>
      <w:docPartObj>
        <w:docPartGallery w:val="Page Numbers (Bottom of Page)"/>
        <w:docPartUnique/>
      </w:docPartObj>
    </w:sdtPr>
    <w:sdtContent>
      <w:p w14:paraId="277D725B" w14:textId="2832A0DE" w:rsidR="00191A4E" w:rsidRDefault="00191A4E" w:rsidP="00604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F18F7F7" w14:textId="62B411A1" w:rsidR="005F1BAB" w:rsidRPr="005F1BAB" w:rsidRDefault="005F1BAB" w:rsidP="00191A4E">
    <w:pPr>
      <w:pStyle w:val="Footer"/>
      <w:ind w:right="360"/>
      <w:rPr>
        <w:color w:val="808080" w:themeColor="background1" w:themeShade="80"/>
      </w:rPr>
    </w:pPr>
    <w:r w:rsidRPr="005F1BAB">
      <w:rPr>
        <w:color w:val="808080" w:themeColor="background1" w:themeShade="80"/>
      </w:rPr>
      <w:t xml:space="preserve">Dairy Analytics | </w:t>
    </w:r>
    <w:hyperlink r:id="rId1" w:history="1">
      <w:r w:rsidRPr="005F1BAB">
        <w:rPr>
          <w:rStyle w:val="Hyperlink"/>
          <w:color w:val="808080" w:themeColor="background1" w:themeShade="80"/>
          <w:u w:val="none"/>
        </w:rPr>
        <w:t>dairyanalytics.co.nz</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0974F" w14:textId="77777777" w:rsidR="008F72A7" w:rsidRDefault="008F72A7" w:rsidP="009B37BC">
      <w:r>
        <w:separator/>
      </w:r>
    </w:p>
  </w:footnote>
  <w:footnote w:type="continuationSeparator" w:id="0">
    <w:p w14:paraId="5EC839E4" w14:textId="77777777" w:rsidR="008F72A7" w:rsidRDefault="008F72A7" w:rsidP="009B37BC">
      <w:r>
        <w:continuationSeparator/>
      </w:r>
    </w:p>
  </w:footnote>
  <w:footnote w:id="1">
    <w:p w14:paraId="7AE7322A" w14:textId="7A47D2AD" w:rsidR="005F1BAB" w:rsidRDefault="005F1BAB">
      <w:pPr>
        <w:pStyle w:val="FootnoteText"/>
      </w:pPr>
      <w:r>
        <w:rPr>
          <w:rStyle w:val="FootnoteReference"/>
        </w:rPr>
        <w:footnoteRef/>
      </w:r>
      <w:r>
        <w:t xml:space="preserve"> </w:t>
      </w:r>
      <w:hyperlink r:id="rId1" w:history="1">
        <w:r w:rsidRPr="006F03AE">
          <w:rPr>
            <w:rStyle w:val="Hyperlink"/>
          </w:rPr>
          <w:t>Commerce Commission “Review of Fonterra’s 2019/20 Milk Price Manual: Dairy Industry Restructuring Act 2001” (1</w:t>
        </w:r>
        <w:r>
          <w:rPr>
            <w:rStyle w:val="Hyperlink"/>
          </w:rPr>
          <w:t>5 October</w:t>
        </w:r>
        <w:r w:rsidRPr="006F03AE">
          <w:rPr>
            <w:rStyle w:val="Hyperlink"/>
          </w:rPr>
          <w:t xml:space="preserve"> 2019)</w:t>
        </w:r>
      </w:hyperlink>
    </w:p>
  </w:footnote>
  <w:footnote w:id="2">
    <w:p w14:paraId="5954277D" w14:textId="77777777" w:rsidR="005F1BAB" w:rsidRDefault="005F1BAB" w:rsidP="00CB6F8F">
      <w:pPr>
        <w:pStyle w:val="FootnoteText"/>
      </w:pPr>
      <w:r>
        <w:rPr>
          <w:rStyle w:val="FootnoteReference"/>
        </w:rPr>
        <w:footnoteRef/>
      </w:r>
      <w:r>
        <w:t xml:space="preserve"> </w:t>
      </w:r>
      <w:hyperlink r:id="rId2" w:history="1">
        <w:r w:rsidRPr="009E7E7C">
          <w:rPr>
            <w:rStyle w:val="Hyperlink"/>
          </w:rPr>
          <w:t>Fonterra “2019 Farmgate Milk Price Statement 2019”</w:t>
        </w:r>
      </w:hyperlink>
    </w:p>
  </w:footnote>
  <w:footnote w:id="3">
    <w:p w14:paraId="2DE34F51" w14:textId="77777777" w:rsidR="005F1BAB" w:rsidRDefault="005F1BAB" w:rsidP="00C12FA5">
      <w:pPr>
        <w:pStyle w:val="FootnoteText"/>
      </w:pPr>
      <w:r>
        <w:rPr>
          <w:rStyle w:val="FootnoteReference"/>
        </w:rPr>
        <w:footnoteRef/>
      </w:r>
      <w:r>
        <w:t xml:space="preserve"> </w:t>
      </w:r>
      <w:hyperlink r:id="rId3" w:history="1">
        <w:r w:rsidRPr="009E7E7C">
          <w:rPr>
            <w:rStyle w:val="Hyperlink"/>
          </w:rPr>
          <w:t>Fonterra “2019 Farmgate Milk Price Statement 2019”</w:t>
        </w:r>
      </w:hyperlink>
    </w:p>
  </w:footnote>
  <w:footnote w:id="4">
    <w:p w14:paraId="2A7578BA" w14:textId="77777777" w:rsidR="005F1BAB" w:rsidRDefault="005F1BAB" w:rsidP="000E3969">
      <w:pPr>
        <w:pStyle w:val="FootnoteText"/>
      </w:pPr>
      <w:r>
        <w:rPr>
          <w:rStyle w:val="FootnoteReference"/>
        </w:rPr>
        <w:footnoteRef/>
      </w:r>
      <w:r>
        <w:t xml:space="preserve"> </w:t>
      </w:r>
      <w:hyperlink r:id="rId4" w:history="1">
        <w:r w:rsidRPr="00937B4D">
          <w:rPr>
            <w:rStyle w:val="Hyperlink"/>
          </w:rPr>
          <w:t>Commerce Commission “</w:t>
        </w:r>
        <w:r>
          <w:rPr>
            <w:rStyle w:val="Hyperlink"/>
          </w:rPr>
          <w:t>Review of Fonterra’s 2018/19 base milk price calculation: Dairy Industry Restructuring Act 2001</w:t>
        </w:r>
        <w:r w:rsidRPr="00937B4D">
          <w:rPr>
            <w:rStyle w:val="Hyperlink"/>
          </w:rPr>
          <w:t>” (12 September 2019)</w:t>
        </w:r>
      </w:hyperlink>
    </w:p>
  </w:footnote>
  <w:footnote w:id="5">
    <w:p w14:paraId="77A53023" w14:textId="77777777" w:rsidR="005F1BAB" w:rsidRDefault="005F1BAB" w:rsidP="000E3969">
      <w:pPr>
        <w:pStyle w:val="FootnoteText"/>
      </w:pPr>
      <w:r>
        <w:rPr>
          <w:rStyle w:val="FootnoteReference"/>
        </w:rPr>
        <w:footnoteRef/>
      </w:r>
      <w:r>
        <w:t xml:space="preserve"> </w:t>
      </w:r>
      <w:hyperlink r:id="rId5" w:history="1">
        <w:r w:rsidRPr="005C6200">
          <w:rPr>
            <w:rStyle w:val="Hyperlink"/>
          </w:rPr>
          <w:t>TDB. Advisory “Submission on draft report on review of Fonterra’s 2018/19 draft milk price manual” (15 November 2018)</w:t>
        </w:r>
      </w:hyperlink>
    </w:p>
  </w:footnote>
  <w:footnote w:id="6">
    <w:p w14:paraId="184061E1" w14:textId="77777777" w:rsidR="005F1BAB" w:rsidRDefault="005F1BAB" w:rsidP="000E3969">
      <w:pPr>
        <w:pStyle w:val="FootnoteText"/>
      </w:pPr>
      <w:r>
        <w:rPr>
          <w:rStyle w:val="FootnoteReference"/>
        </w:rPr>
        <w:footnoteRef/>
      </w:r>
      <w:r>
        <w:t xml:space="preserve"> </w:t>
      </w:r>
      <w:hyperlink r:id="rId6" w:history="1">
        <w:r w:rsidRPr="006F03AE">
          <w:rPr>
            <w:rStyle w:val="Hyperlink"/>
          </w:rPr>
          <w:t>Commerce Commission “Review of Fonterra’s 2019/20 Milk Price Manual: Dairy Industry Restructuring Act 2001” (1</w:t>
        </w:r>
        <w:r>
          <w:rPr>
            <w:rStyle w:val="Hyperlink"/>
          </w:rPr>
          <w:t>5 October</w:t>
        </w:r>
        <w:r w:rsidRPr="006F03AE">
          <w:rPr>
            <w:rStyle w:val="Hyperlink"/>
          </w:rPr>
          <w:t xml:space="preserve"> 2019)</w:t>
        </w:r>
      </w:hyperlink>
    </w:p>
  </w:footnote>
  <w:footnote w:id="7">
    <w:p w14:paraId="4D5B5481" w14:textId="77777777" w:rsidR="005F1BAB" w:rsidRDefault="005F1BAB" w:rsidP="003F049C">
      <w:pPr>
        <w:pStyle w:val="FootnoteText"/>
      </w:pPr>
      <w:r>
        <w:rPr>
          <w:rStyle w:val="FootnoteReference"/>
        </w:rPr>
        <w:footnoteRef/>
      </w:r>
      <w:r>
        <w:t xml:space="preserve"> </w:t>
      </w:r>
      <w:hyperlink r:id="rId7" w:anchor="DLM4640149" w:history="1">
        <w:r w:rsidRPr="003F049C">
          <w:rPr>
            <w:rStyle w:val="Hyperlink"/>
          </w:rPr>
          <w:t>NZ Govt. “Dairy Industry Restructuring Act 2001” (1 October 2018)</w:t>
        </w:r>
      </w:hyperlink>
    </w:p>
  </w:footnote>
  <w:footnote w:id="8">
    <w:p w14:paraId="6B6F76D9" w14:textId="7C4DEA6A" w:rsidR="005F1BAB" w:rsidRDefault="005F1BAB">
      <w:pPr>
        <w:pStyle w:val="FootnoteText"/>
      </w:pPr>
      <w:r>
        <w:rPr>
          <w:rStyle w:val="FootnoteReference"/>
        </w:rPr>
        <w:t>B</w:t>
      </w:r>
      <w:hyperlink r:id="rId8" w:history="1">
        <w:r w:rsidRPr="000275A1">
          <w:rPr>
            <w:rStyle w:val="Hyperlink"/>
          </w:rPr>
          <w:t>Baron et al. “Final Report on Predicting Hedged Exchange Rates” (19 March 2019)</w:t>
        </w:r>
      </w:hyperlink>
    </w:p>
  </w:footnote>
  <w:footnote w:id="9">
    <w:p w14:paraId="18A49CEC" w14:textId="5719157B" w:rsidR="00191A4E" w:rsidRDefault="00191A4E">
      <w:pPr>
        <w:pStyle w:val="FootnoteText"/>
      </w:pPr>
      <w:r>
        <w:rPr>
          <w:rStyle w:val="FootnoteReference"/>
        </w:rPr>
        <w:footnoteRef/>
      </w:r>
      <w:r>
        <w:t xml:space="preserve"> </w:t>
      </w:r>
      <w:hyperlink r:id="rId9" w:history="1">
        <w:r w:rsidRPr="00191A4E">
          <w:rPr>
            <w:rStyle w:val="Hyperlink"/>
          </w:rPr>
          <w:t>Fonterra “Farmgate Milk Price Manual” (1 August 2019)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62CC2" w14:textId="2BCD1E24" w:rsidR="005F1BAB" w:rsidRPr="009B37BC" w:rsidRDefault="005F1BAB">
    <w:pPr>
      <w:pStyle w:val="Header"/>
      <w:tabs>
        <w:tab w:val="clear" w:pos="4680"/>
        <w:tab w:val="clear" w:pos="9360"/>
      </w:tabs>
      <w:jc w:val="right"/>
      <w:rPr>
        <w:color w:val="808080" w:themeColor="background1" w:themeShade="80"/>
      </w:rPr>
    </w:pPr>
    <w:sdt>
      <w:sdtPr>
        <w:rPr>
          <w:color w:val="808080" w:themeColor="background1" w:themeShade="80"/>
        </w:rPr>
        <w:alias w:val="Title"/>
        <w:tag w:val=""/>
        <w:id w:val="664756013"/>
        <w:placeholder>
          <w:docPart w:val="6DC1F30E48B94C47949458903674CC9C"/>
        </w:placeholder>
        <w:dataBinding w:prefixMappings="xmlns:ns0='http://purl.org/dc/elements/1.1/' xmlns:ns1='http://schemas.openxmlformats.org/package/2006/metadata/core-properties' " w:xpath="/ns1:coreProperties[1]/ns0:title[1]" w:storeItemID="{6C3C8BC8-F283-45AE-878A-BAB7291924A1}"/>
        <w:text/>
      </w:sdtPr>
      <w:sdtContent>
        <w:r>
          <w:rPr>
            <w:color w:val="808080" w:themeColor="background1" w:themeShade="80"/>
          </w:rPr>
          <w:t>Submission on draft r</w:t>
        </w:r>
        <w:r w:rsidRPr="009B37BC">
          <w:rPr>
            <w:color w:val="808080" w:themeColor="background1" w:themeShade="80"/>
          </w:rPr>
          <w:t>eview of Fonterra’s 201</w:t>
        </w:r>
        <w:r>
          <w:rPr>
            <w:color w:val="808080" w:themeColor="background1" w:themeShade="80"/>
          </w:rPr>
          <w:t>9</w:t>
        </w:r>
        <w:r w:rsidRPr="009B37BC">
          <w:rPr>
            <w:color w:val="808080" w:themeColor="background1" w:themeShade="80"/>
          </w:rPr>
          <w:t>/</w:t>
        </w:r>
        <w:r>
          <w:rPr>
            <w:color w:val="808080" w:themeColor="background1" w:themeShade="80"/>
          </w:rPr>
          <w:t>20</w:t>
        </w:r>
        <w:r w:rsidRPr="009B37BC">
          <w:rPr>
            <w:color w:val="808080" w:themeColor="background1" w:themeShade="80"/>
          </w:rPr>
          <w:t xml:space="preserve"> Milk Price Manual</w:t>
        </w:r>
      </w:sdtContent>
    </w:sdt>
    <w:r w:rsidRPr="009B37BC">
      <w:rPr>
        <w:color w:val="808080" w:themeColor="background1" w:themeShade="80"/>
      </w:rPr>
      <w:t xml:space="preserve"> |</w:t>
    </w:r>
    <w:r w:rsidRPr="009B37BC">
      <w:rPr>
        <w:color w:val="808080" w:themeColor="background1" w:themeShade="80"/>
      </w:rPr>
      <w:fldChar w:fldCharType="begin"/>
    </w:r>
    <w:r w:rsidRPr="009B37BC">
      <w:rPr>
        <w:color w:val="808080" w:themeColor="background1" w:themeShade="80"/>
      </w:rPr>
      <w:instrText xml:space="preserve"> DATE \@ "MMMM d, yyyy" </w:instrText>
    </w:r>
    <w:r w:rsidRPr="009B37BC">
      <w:rPr>
        <w:color w:val="808080" w:themeColor="background1" w:themeShade="80"/>
      </w:rPr>
      <w:fldChar w:fldCharType="separate"/>
    </w:r>
    <w:r w:rsidR="00F843B6">
      <w:rPr>
        <w:noProof/>
        <w:color w:val="808080" w:themeColor="background1" w:themeShade="80"/>
      </w:rPr>
      <w:t>October 16, 2019</w:t>
    </w:r>
    <w:r w:rsidRPr="009B37BC">
      <w:rPr>
        <w:color w:val="808080" w:themeColor="background1" w:themeShade="80"/>
      </w:rPr>
      <w:fldChar w:fldCharType="end"/>
    </w:r>
  </w:p>
  <w:p w14:paraId="43406F1C" w14:textId="77777777" w:rsidR="005F1BAB" w:rsidRDefault="005F1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2CD"/>
    <w:multiLevelType w:val="multilevel"/>
    <w:tmpl w:val="C57A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0FDB"/>
    <w:multiLevelType w:val="hybridMultilevel"/>
    <w:tmpl w:val="F6C8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6E93"/>
    <w:multiLevelType w:val="hybridMultilevel"/>
    <w:tmpl w:val="BB0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7C45"/>
    <w:multiLevelType w:val="hybridMultilevel"/>
    <w:tmpl w:val="E1EA8006"/>
    <w:lvl w:ilvl="0" w:tplc="6B5624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07328"/>
    <w:multiLevelType w:val="hybridMultilevel"/>
    <w:tmpl w:val="C0F4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61904"/>
    <w:multiLevelType w:val="multilevel"/>
    <w:tmpl w:val="DB2A59EC"/>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52B12"/>
    <w:multiLevelType w:val="multilevel"/>
    <w:tmpl w:val="F6DA92F6"/>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71DDE"/>
    <w:multiLevelType w:val="hybridMultilevel"/>
    <w:tmpl w:val="FD621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414E5"/>
    <w:multiLevelType w:val="hybridMultilevel"/>
    <w:tmpl w:val="8D3EEF6C"/>
    <w:lvl w:ilvl="0" w:tplc="F36C23E0">
      <w:start w:val="2"/>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951232E"/>
    <w:multiLevelType w:val="hybridMultilevel"/>
    <w:tmpl w:val="867E1810"/>
    <w:lvl w:ilvl="0" w:tplc="6B5624AA">
      <w:start w:val="1"/>
      <w:numFmt w:val="lowerRoman"/>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54804"/>
    <w:multiLevelType w:val="multilevel"/>
    <w:tmpl w:val="157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538DF"/>
    <w:multiLevelType w:val="multilevel"/>
    <w:tmpl w:val="29702C4A"/>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94A97"/>
    <w:multiLevelType w:val="multilevel"/>
    <w:tmpl w:val="75769492"/>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04E74"/>
    <w:multiLevelType w:val="hybridMultilevel"/>
    <w:tmpl w:val="E886E684"/>
    <w:lvl w:ilvl="0" w:tplc="F36C23E0">
      <w:start w:val="2"/>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372C0"/>
    <w:multiLevelType w:val="multilevel"/>
    <w:tmpl w:val="25F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77BC8"/>
    <w:multiLevelType w:val="multilevel"/>
    <w:tmpl w:val="0ABC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11"/>
  </w:num>
  <w:num w:numId="4">
    <w:abstractNumId w:val="6"/>
  </w:num>
  <w:num w:numId="5">
    <w:abstractNumId w:val="15"/>
  </w:num>
  <w:num w:numId="6">
    <w:abstractNumId w:val="4"/>
  </w:num>
  <w:num w:numId="7">
    <w:abstractNumId w:val="5"/>
  </w:num>
  <w:num w:numId="8">
    <w:abstractNumId w:val="8"/>
  </w:num>
  <w:num w:numId="9">
    <w:abstractNumId w:val="13"/>
  </w:num>
  <w:num w:numId="10">
    <w:abstractNumId w:val="3"/>
  </w:num>
  <w:num w:numId="11">
    <w:abstractNumId w:val="14"/>
  </w:num>
  <w:num w:numId="12">
    <w:abstractNumId w:val="2"/>
  </w:num>
  <w:num w:numId="13">
    <w:abstractNumId w:val="1"/>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BC"/>
    <w:rsid w:val="000275A1"/>
    <w:rsid w:val="000E3969"/>
    <w:rsid w:val="00191A4E"/>
    <w:rsid w:val="001E6583"/>
    <w:rsid w:val="00210D99"/>
    <w:rsid w:val="002350A8"/>
    <w:rsid w:val="0036476B"/>
    <w:rsid w:val="003C2131"/>
    <w:rsid w:val="003F049C"/>
    <w:rsid w:val="003F0C22"/>
    <w:rsid w:val="004C3CC3"/>
    <w:rsid w:val="004E22A6"/>
    <w:rsid w:val="00574ECF"/>
    <w:rsid w:val="005C6200"/>
    <w:rsid w:val="005D6FFC"/>
    <w:rsid w:val="005F021C"/>
    <w:rsid w:val="005F1BAB"/>
    <w:rsid w:val="006A3854"/>
    <w:rsid w:val="006E6D54"/>
    <w:rsid w:val="006F03AE"/>
    <w:rsid w:val="00724267"/>
    <w:rsid w:val="0078166C"/>
    <w:rsid w:val="008241D5"/>
    <w:rsid w:val="00830322"/>
    <w:rsid w:val="00830E0F"/>
    <w:rsid w:val="008E6FE0"/>
    <w:rsid w:val="008E76A7"/>
    <w:rsid w:val="008F084B"/>
    <w:rsid w:val="008F72A7"/>
    <w:rsid w:val="009123C9"/>
    <w:rsid w:val="00937B4D"/>
    <w:rsid w:val="00967E02"/>
    <w:rsid w:val="009A1908"/>
    <w:rsid w:val="009B37BC"/>
    <w:rsid w:val="009E7E7C"/>
    <w:rsid w:val="00A6262F"/>
    <w:rsid w:val="00A948CC"/>
    <w:rsid w:val="00AE6629"/>
    <w:rsid w:val="00B45283"/>
    <w:rsid w:val="00C12FA5"/>
    <w:rsid w:val="00C62697"/>
    <w:rsid w:val="00C637AD"/>
    <w:rsid w:val="00CA1DEC"/>
    <w:rsid w:val="00CB6F8F"/>
    <w:rsid w:val="00CD5615"/>
    <w:rsid w:val="00CE7AC8"/>
    <w:rsid w:val="00D15D7B"/>
    <w:rsid w:val="00D20DA8"/>
    <w:rsid w:val="00E0471D"/>
    <w:rsid w:val="00EC1C31"/>
    <w:rsid w:val="00EC3A5C"/>
    <w:rsid w:val="00F04C00"/>
    <w:rsid w:val="00F4291C"/>
    <w:rsid w:val="00F8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BE5B"/>
  <w15:chartTrackingRefBased/>
  <w15:docId w15:val="{712F1007-387F-A844-9937-0557A2CA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B37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7BC"/>
    <w:pPr>
      <w:ind w:left="720"/>
      <w:contextualSpacing/>
    </w:pPr>
  </w:style>
  <w:style w:type="paragraph" w:styleId="NormalWeb">
    <w:name w:val="Normal (Web)"/>
    <w:basedOn w:val="Normal"/>
    <w:uiPriority w:val="99"/>
    <w:unhideWhenUsed/>
    <w:rsid w:val="009B37B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B37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B37BC"/>
  </w:style>
  <w:style w:type="paragraph" w:styleId="Header">
    <w:name w:val="header"/>
    <w:basedOn w:val="Normal"/>
    <w:link w:val="HeaderChar"/>
    <w:uiPriority w:val="99"/>
    <w:unhideWhenUsed/>
    <w:rsid w:val="009B37BC"/>
    <w:pPr>
      <w:tabs>
        <w:tab w:val="center" w:pos="4680"/>
        <w:tab w:val="right" w:pos="9360"/>
      </w:tabs>
    </w:pPr>
  </w:style>
  <w:style w:type="character" w:customStyle="1" w:styleId="HeaderChar">
    <w:name w:val="Header Char"/>
    <w:basedOn w:val="DefaultParagraphFont"/>
    <w:link w:val="Header"/>
    <w:uiPriority w:val="99"/>
    <w:rsid w:val="009B37BC"/>
  </w:style>
  <w:style w:type="paragraph" w:styleId="Footer">
    <w:name w:val="footer"/>
    <w:basedOn w:val="Normal"/>
    <w:link w:val="FooterChar"/>
    <w:uiPriority w:val="99"/>
    <w:unhideWhenUsed/>
    <w:rsid w:val="009B37BC"/>
    <w:pPr>
      <w:tabs>
        <w:tab w:val="center" w:pos="4680"/>
        <w:tab w:val="right" w:pos="9360"/>
      </w:tabs>
    </w:pPr>
  </w:style>
  <w:style w:type="character" w:customStyle="1" w:styleId="FooterChar">
    <w:name w:val="Footer Char"/>
    <w:basedOn w:val="DefaultParagraphFont"/>
    <w:link w:val="Footer"/>
    <w:uiPriority w:val="99"/>
    <w:rsid w:val="009B37BC"/>
  </w:style>
  <w:style w:type="character" w:styleId="PlaceholderText">
    <w:name w:val="Placeholder Text"/>
    <w:basedOn w:val="DefaultParagraphFont"/>
    <w:uiPriority w:val="99"/>
    <w:semiHidden/>
    <w:rsid w:val="009B37BC"/>
    <w:rPr>
      <w:color w:val="808080"/>
    </w:rPr>
  </w:style>
  <w:style w:type="character" w:styleId="Hyperlink">
    <w:name w:val="Hyperlink"/>
    <w:basedOn w:val="DefaultParagraphFont"/>
    <w:uiPriority w:val="99"/>
    <w:unhideWhenUsed/>
    <w:rsid w:val="006F03AE"/>
    <w:rPr>
      <w:color w:val="0563C1" w:themeColor="hyperlink"/>
      <w:u w:val="single"/>
    </w:rPr>
  </w:style>
  <w:style w:type="character" w:styleId="UnresolvedMention">
    <w:name w:val="Unresolved Mention"/>
    <w:basedOn w:val="DefaultParagraphFont"/>
    <w:uiPriority w:val="99"/>
    <w:semiHidden/>
    <w:unhideWhenUsed/>
    <w:rsid w:val="006F03AE"/>
    <w:rPr>
      <w:color w:val="605E5C"/>
      <w:shd w:val="clear" w:color="auto" w:fill="E1DFDD"/>
    </w:rPr>
  </w:style>
  <w:style w:type="character" w:styleId="FollowedHyperlink">
    <w:name w:val="FollowedHyperlink"/>
    <w:basedOn w:val="DefaultParagraphFont"/>
    <w:uiPriority w:val="99"/>
    <w:semiHidden/>
    <w:unhideWhenUsed/>
    <w:rsid w:val="006F03AE"/>
    <w:rPr>
      <w:color w:val="954F72" w:themeColor="followedHyperlink"/>
      <w:u w:val="single"/>
    </w:rPr>
  </w:style>
  <w:style w:type="paragraph" w:styleId="FootnoteText">
    <w:name w:val="footnote text"/>
    <w:basedOn w:val="Normal"/>
    <w:link w:val="FootnoteTextChar"/>
    <w:uiPriority w:val="99"/>
    <w:semiHidden/>
    <w:unhideWhenUsed/>
    <w:rsid w:val="006F03AE"/>
    <w:rPr>
      <w:sz w:val="20"/>
      <w:szCs w:val="20"/>
    </w:rPr>
  </w:style>
  <w:style w:type="character" w:customStyle="1" w:styleId="FootnoteTextChar">
    <w:name w:val="Footnote Text Char"/>
    <w:basedOn w:val="DefaultParagraphFont"/>
    <w:link w:val="FootnoteText"/>
    <w:uiPriority w:val="99"/>
    <w:semiHidden/>
    <w:rsid w:val="006F03AE"/>
    <w:rPr>
      <w:sz w:val="20"/>
      <w:szCs w:val="20"/>
    </w:rPr>
  </w:style>
  <w:style w:type="character" w:styleId="FootnoteReference">
    <w:name w:val="footnote reference"/>
    <w:basedOn w:val="DefaultParagraphFont"/>
    <w:uiPriority w:val="99"/>
    <w:semiHidden/>
    <w:unhideWhenUsed/>
    <w:rsid w:val="006F03AE"/>
    <w:rPr>
      <w:vertAlign w:val="superscript"/>
    </w:rPr>
  </w:style>
  <w:style w:type="character" w:styleId="PageNumber">
    <w:name w:val="page number"/>
    <w:basedOn w:val="DefaultParagraphFont"/>
    <w:uiPriority w:val="99"/>
    <w:semiHidden/>
    <w:unhideWhenUsed/>
    <w:rsid w:val="0019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09700">
      <w:bodyDiv w:val="1"/>
      <w:marLeft w:val="0"/>
      <w:marRight w:val="0"/>
      <w:marTop w:val="0"/>
      <w:marBottom w:val="0"/>
      <w:divBdr>
        <w:top w:val="none" w:sz="0" w:space="0" w:color="auto"/>
        <w:left w:val="none" w:sz="0" w:space="0" w:color="auto"/>
        <w:bottom w:val="none" w:sz="0" w:space="0" w:color="auto"/>
        <w:right w:val="none" w:sz="0" w:space="0" w:color="auto"/>
      </w:divBdr>
      <w:divsChild>
        <w:div w:id="1743406018">
          <w:marLeft w:val="0"/>
          <w:marRight w:val="0"/>
          <w:marTop w:val="0"/>
          <w:marBottom w:val="0"/>
          <w:divBdr>
            <w:top w:val="none" w:sz="0" w:space="0" w:color="auto"/>
            <w:left w:val="none" w:sz="0" w:space="0" w:color="auto"/>
            <w:bottom w:val="none" w:sz="0" w:space="0" w:color="auto"/>
            <w:right w:val="none" w:sz="0" w:space="0" w:color="auto"/>
          </w:divBdr>
          <w:divsChild>
            <w:div w:id="478420757">
              <w:marLeft w:val="0"/>
              <w:marRight w:val="0"/>
              <w:marTop w:val="0"/>
              <w:marBottom w:val="0"/>
              <w:divBdr>
                <w:top w:val="none" w:sz="0" w:space="0" w:color="auto"/>
                <w:left w:val="none" w:sz="0" w:space="0" w:color="auto"/>
                <w:bottom w:val="none" w:sz="0" w:space="0" w:color="auto"/>
                <w:right w:val="none" w:sz="0" w:space="0" w:color="auto"/>
              </w:divBdr>
              <w:divsChild>
                <w:div w:id="200441158">
                  <w:marLeft w:val="0"/>
                  <w:marRight w:val="0"/>
                  <w:marTop w:val="0"/>
                  <w:marBottom w:val="0"/>
                  <w:divBdr>
                    <w:top w:val="none" w:sz="0" w:space="0" w:color="auto"/>
                    <w:left w:val="none" w:sz="0" w:space="0" w:color="auto"/>
                    <w:bottom w:val="none" w:sz="0" w:space="0" w:color="auto"/>
                    <w:right w:val="none" w:sz="0" w:space="0" w:color="auto"/>
                  </w:divBdr>
                  <w:divsChild>
                    <w:div w:id="21240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35239">
      <w:bodyDiv w:val="1"/>
      <w:marLeft w:val="0"/>
      <w:marRight w:val="0"/>
      <w:marTop w:val="0"/>
      <w:marBottom w:val="0"/>
      <w:divBdr>
        <w:top w:val="none" w:sz="0" w:space="0" w:color="auto"/>
        <w:left w:val="none" w:sz="0" w:space="0" w:color="auto"/>
        <w:bottom w:val="none" w:sz="0" w:space="0" w:color="auto"/>
        <w:right w:val="none" w:sz="0" w:space="0" w:color="auto"/>
      </w:divBdr>
      <w:divsChild>
        <w:div w:id="1439251150">
          <w:marLeft w:val="0"/>
          <w:marRight w:val="0"/>
          <w:marTop w:val="0"/>
          <w:marBottom w:val="0"/>
          <w:divBdr>
            <w:top w:val="none" w:sz="0" w:space="0" w:color="auto"/>
            <w:left w:val="none" w:sz="0" w:space="0" w:color="auto"/>
            <w:bottom w:val="none" w:sz="0" w:space="0" w:color="auto"/>
            <w:right w:val="none" w:sz="0" w:space="0" w:color="auto"/>
          </w:divBdr>
          <w:divsChild>
            <w:div w:id="544030203">
              <w:marLeft w:val="0"/>
              <w:marRight w:val="0"/>
              <w:marTop w:val="0"/>
              <w:marBottom w:val="0"/>
              <w:divBdr>
                <w:top w:val="none" w:sz="0" w:space="0" w:color="auto"/>
                <w:left w:val="none" w:sz="0" w:space="0" w:color="auto"/>
                <w:bottom w:val="none" w:sz="0" w:space="0" w:color="auto"/>
                <w:right w:val="none" w:sz="0" w:space="0" w:color="auto"/>
              </w:divBdr>
              <w:divsChild>
                <w:div w:id="1384526899">
                  <w:marLeft w:val="0"/>
                  <w:marRight w:val="0"/>
                  <w:marTop w:val="0"/>
                  <w:marBottom w:val="0"/>
                  <w:divBdr>
                    <w:top w:val="none" w:sz="0" w:space="0" w:color="auto"/>
                    <w:left w:val="none" w:sz="0" w:space="0" w:color="auto"/>
                    <w:bottom w:val="none" w:sz="0" w:space="0" w:color="auto"/>
                    <w:right w:val="none" w:sz="0" w:space="0" w:color="auto"/>
                  </w:divBdr>
                  <w:divsChild>
                    <w:div w:id="1849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3468">
      <w:bodyDiv w:val="1"/>
      <w:marLeft w:val="0"/>
      <w:marRight w:val="0"/>
      <w:marTop w:val="0"/>
      <w:marBottom w:val="0"/>
      <w:divBdr>
        <w:top w:val="none" w:sz="0" w:space="0" w:color="auto"/>
        <w:left w:val="none" w:sz="0" w:space="0" w:color="auto"/>
        <w:bottom w:val="none" w:sz="0" w:space="0" w:color="auto"/>
        <w:right w:val="none" w:sz="0" w:space="0" w:color="auto"/>
      </w:divBdr>
      <w:divsChild>
        <w:div w:id="1668052824">
          <w:marLeft w:val="0"/>
          <w:marRight w:val="0"/>
          <w:marTop w:val="0"/>
          <w:marBottom w:val="0"/>
          <w:divBdr>
            <w:top w:val="none" w:sz="0" w:space="0" w:color="auto"/>
            <w:left w:val="none" w:sz="0" w:space="0" w:color="auto"/>
            <w:bottom w:val="none" w:sz="0" w:space="0" w:color="auto"/>
            <w:right w:val="none" w:sz="0" w:space="0" w:color="auto"/>
          </w:divBdr>
          <w:divsChild>
            <w:div w:id="1683625244">
              <w:marLeft w:val="0"/>
              <w:marRight w:val="0"/>
              <w:marTop w:val="0"/>
              <w:marBottom w:val="0"/>
              <w:divBdr>
                <w:top w:val="none" w:sz="0" w:space="0" w:color="auto"/>
                <w:left w:val="none" w:sz="0" w:space="0" w:color="auto"/>
                <w:bottom w:val="none" w:sz="0" w:space="0" w:color="auto"/>
                <w:right w:val="none" w:sz="0" w:space="0" w:color="auto"/>
              </w:divBdr>
              <w:divsChild>
                <w:div w:id="932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6778">
      <w:bodyDiv w:val="1"/>
      <w:marLeft w:val="0"/>
      <w:marRight w:val="0"/>
      <w:marTop w:val="0"/>
      <w:marBottom w:val="0"/>
      <w:divBdr>
        <w:top w:val="none" w:sz="0" w:space="0" w:color="auto"/>
        <w:left w:val="none" w:sz="0" w:space="0" w:color="auto"/>
        <w:bottom w:val="none" w:sz="0" w:space="0" w:color="auto"/>
        <w:right w:val="none" w:sz="0" w:space="0" w:color="auto"/>
      </w:divBdr>
      <w:divsChild>
        <w:div w:id="425927203">
          <w:marLeft w:val="0"/>
          <w:marRight w:val="0"/>
          <w:marTop w:val="0"/>
          <w:marBottom w:val="0"/>
          <w:divBdr>
            <w:top w:val="none" w:sz="0" w:space="0" w:color="auto"/>
            <w:left w:val="none" w:sz="0" w:space="0" w:color="auto"/>
            <w:bottom w:val="none" w:sz="0" w:space="0" w:color="auto"/>
            <w:right w:val="none" w:sz="0" w:space="0" w:color="auto"/>
          </w:divBdr>
          <w:divsChild>
            <w:div w:id="1759131362">
              <w:marLeft w:val="0"/>
              <w:marRight w:val="0"/>
              <w:marTop w:val="0"/>
              <w:marBottom w:val="0"/>
              <w:divBdr>
                <w:top w:val="none" w:sz="0" w:space="0" w:color="auto"/>
                <w:left w:val="none" w:sz="0" w:space="0" w:color="auto"/>
                <w:bottom w:val="none" w:sz="0" w:space="0" w:color="auto"/>
                <w:right w:val="none" w:sz="0" w:space="0" w:color="auto"/>
              </w:divBdr>
              <w:divsChild>
                <w:div w:id="729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9372">
      <w:bodyDiv w:val="1"/>
      <w:marLeft w:val="0"/>
      <w:marRight w:val="0"/>
      <w:marTop w:val="0"/>
      <w:marBottom w:val="0"/>
      <w:divBdr>
        <w:top w:val="none" w:sz="0" w:space="0" w:color="auto"/>
        <w:left w:val="none" w:sz="0" w:space="0" w:color="auto"/>
        <w:bottom w:val="none" w:sz="0" w:space="0" w:color="auto"/>
        <w:right w:val="none" w:sz="0" w:space="0" w:color="auto"/>
      </w:divBdr>
      <w:divsChild>
        <w:div w:id="436367669">
          <w:marLeft w:val="0"/>
          <w:marRight w:val="0"/>
          <w:marTop w:val="0"/>
          <w:marBottom w:val="0"/>
          <w:divBdr>
            <w:top w:val="none" w:sz="0" w:space="0" w:color="auto"/>
            <w:left w:val="none" w:sz="0" w:space="0" w:color="auto"/>
            <w:bottom w:val="none" w:sz="0" w:space="0" w:color="auto"/>
            <w:right w:val="none" w:sz="0" w:space="0" w:color="auto"/>
          </w:divBdr>
          <w:divsChild>
            <w:div w:id="13506415">
              <w:marLeft w:val="0"/>
              <w:marRight w:val="0"/>
              <w:marTop w:val="0"/>
              <w:marBottom w:val="0"/>
              <w:divBdr>
                <w:top w:val="none" w:sz="0" w:space="0" w:color="auto"/>
                <w:left w:val="none" w:sz="0" w:space="0" w:color="auto"/>
                <w:bottom w:val="none" w:sz="0" w:space="0" w:color="auto"/>
                <w:right w:val="none" w:sz="0" w:space="0" w:color="auto"/>
              </w:divBdr>
              <w:divsChild>
                <w:div w:id="1445494272">
                  <w:marLeft w:val="0"/>
                  <w:marRight w:val="0"/>
                  <w:marTop w:val="0"/>
                  <w:marBottom w:val="0"/>
                  <w:divBdr>
                    <w:top w:val="none" w:sz="0" w:space="0" w:color="auto"/>
                    <w:left w:val="none" w:sz="0" w:space="0" w:color="auto"/>
                    <w:bottom w:val="none" w:sz="0" w:space="0" w:color="auto"/>
                    <w:right w:val="none" w:sz="0" w:space="0" w:color="auto"/>
                  </w:divBdr>
                  <w:divsChild>
                    <w:div w:id="11143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9623">
      <w:bodyDiv w:val="1"/>
      <w:marLeft w:val="0"/>
      <w:marRight w:val="0"/>
      <w:marTop w:val="0"/>
      <w:marBottom w:val="0"/>
      <w:divBdr>
        <w:top w:val="none" w:sz="0" w:space="0" w:color="auto"/>
        <w:left w:val="none" w:sz="0" w:space="0" w:color="auto"/>
        <w:bottom w:val="none" w:sz="0" w:space="0" w:color="auto"/>
        <w:right w:val="none" w:sz="0" w:space="0" w:color="auto"/>
      </w:divBdr>
      <w:divsChild>
        <w:div w:id="1709531534">
          <w:marLeft w:val="0"/>
          <w:marRight w:val="0"/>
          <w:marTop w:val="0"/>
          <w:marBottom w:val="0"/>
          <w:divBdr>
            <w:top w:val="none" w:sz="0" w:space="0" w:color="auto"/>
            <w:left w:val="none" w:sz="0" w:space="0" w:color="auto"/>
            <w:bottom w:val="none" w:sz="0" w:space="0" w:color="auto"/>
            <w:right w:val="none" w:sz="0" w:space="0" w:color="auto"/>
          </w:divBdr>
          <w:divsChild>
            <w:div w:id="1760910645">
              <w:marLeft w:val="0"/>
              <w:marRight w:val="0"/>
              <w:marTop w:val="0"/>
              <w:marBottom w:val="0"/>
              <w:divBdr>
                <w:top w:val="none" w:sz="0" w:space="0" w:color="auto"/>
                <w:left w:val="none" w:sz="0" w:space="0" w:color="auto"/>
                <w:bottom w:val="none" w:sz="0" w:space="0" w:color="auto"/>
                <w:right w:val="none" w:sz="0" w:space="0" w:color="auto"/>
              </w:divBdr>
              <w:divsChild>
                <w:div w:id="459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341">
      <w:bodyDiv w:val="1"/>
      <w:marLeft w:val="0"/>
      <w:marRight w:val="0"/>
      <w:marTop w:val="0"/>
      <w:marBottom w:val="0"/>
      <w:divBdr>
        <w:top w:val="none" w:sz="0" w:space="0" w:color="auto"/>
        <w:left w:val="none" w:sz="0" w:space="0" w:color="auto"/>
        <w:bottom w:val="none" w:sz="0" w:space="0" w:color="auto"/>
        <w:right w:val="none" w:sz="0" w:space="0" w:color="auto"/>
      </w:divBdr>
      <w:divsChild>
        <w:div w:id="144590664">
          <w:marLeft w:val="0"/>
          <w:marRight w:val="0"/>
          <w:marTop w:val="0"/>
          <w:marBottom w:val="0"/>
          <w:divBdr>
            <w:top w:val="none" w:sz="0" w:space="0" w:color="auto"/>
            <w:left w:val="none" w:sz="0" w:space="0" w:color="auto"/>
            <w:bottom w:val="none" w:sz="0" w:space="0" w:color="auto"/>
            <w:right w:val="none" w:sz="0" w:space="0" w:color="auto"/>
          </w:divBdr>
          <w:divsChild>
            <w:div w:id="910428684">
              <w:marLeft w:val="0"/>
              <w:marRight w:val="0"/>
              <w:marTop w:val="0"/>
              <w:marBottom w:val="0"/>
              <w:divBdr>
                <w:top w:val="none" w:sz="0" w:space="0" w:color="auto"/>
                <w:left w:val="none" w:sz="0" w:space="0" w:color="auto"/>
                <w:bottom w:val="none" w:sz="0" w:space="0" w:color="auto"/>
                <w:right w:val="none" w:sz="0" w:space="0" w:color="auto"/>
              </w:divBdr>
              <w:divsChild>
                <w:div w:id="798958889">
                  <w:marLeft w:val="0"/>
                  <w:marRight w:val="0"/>
                  <w:marTop w:val="0"/>
                  <w:marBottom w:val="0"/>
                  <w:divBdr>
                    <w:top w:val="none" w:sz="0" w:space="0" w:color="auto"/>
                    <w:left w:val="none" w:sz="0" w:space="0" w:color="auto"/>
                    <w:bottom w:val="none" w:sz="0" w:space="0" w:color="auto"/>
                    <w:right w:val="none" w:sz="0" w:space="0" w:color="auto"/>
                  </w:divBdr>
                  <w:divsChild>
                    <w:div w:id="13108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0458">
      <w:bodyDiv w:val="1"/>
      <w:marLeft w:val="0"/>
      <w:marRight w:val="0"/>
      <w:marTop w:val="0"/>
      <w:marBottom w:val="0"/>
      <w:divBdr>
        <w:top w:val="none" w:sz="0" w:space="0" w:color="auto"/>
        <w:left w:val="none" w:sz="0" w:space="0" w:color="auto"/>
        <w:bottom w:val="none" w:sz="0" w:space="0" w:color="auto"/>
        <w:right w:val="none" w:sz="0" w:space="0" w:color="auto"/>
      </w:divBdr>
      <w:divsChild>
        <w:div w:id="162553397">
          <w:marLeft w:val="0"/>
          <w:marRight w:val="0"/>
          <w:marTop w:val="0"/>
          <w:marBottom w:val="0"/>
          <w:divBdr>
            <w:top w:val="none" w:sz="0" w:space="0" w:color="auto"/>
            <w:left w:val="none" w:sz="0" w:space="0" w:color="auto"/>
            <w:bottom w:val="none" w:sz="0" w:space="0" w:color="auto"/>
            <w:right w:val="none" w:sz="0" w:space="0" w:color="auto"/>
          </w:divBdr>
          <w:divsChild>
            <w:div w:id="1463033111">
              <w:marLeft w:val="0"/>
              <w:marRight w:val="0"/>
              <w:marTop w:val="0"/>
              <w:marBottom w:val="0"/>
              <w:divBdr>
                <w:top w:val="none" w:sz="0" w:space="0" w:color="auto"/>
                <w:left w:val="none" w:sz="0" w:space="0" w:color="auto"/>
                <w:bottom w:val="none" w:sz="0" w:space="0" w:color="auto"/>
                <w:right w:val="none" w:sz="0" w:space="0" w:color="auto"/>
              </w:divBdr>
              <w:divsChild>
                <w:div w:id="11887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1066">
      <w:bodyDiv w:val="1"/>
      <w:marLeft w:val="0"/>
      <w:marRight w:val="0"/>
      <w:marTop w:val="0"/>
      <w:marBottom w:val="0"/>
      <w:divBdr>
        <w:top w:val="none" w:sz="0" w:space="0" w:color="auto"/>
        <w:left w:val="none" w:sz="0" w:space="0" w:color="auto"/>
        <w:bottom w:val="none" w:sz="0" w:space="0" w:color="auto"/>
        <w:right w:val="none" w:sz="0" w:space="0" w:color="auto"/>
      </w:divBdr>
    </w:div>
    <w:div w:id="1234125102">
      <w:bodyDiv w:val="1"/>
      <w:marLeft w:val="0"/>
      <w:marRight w:val="0"/>
      <w:marTop w:val="0"/>
      <w:marBottom w:val="0"/>
      <w:divBdr>
        <w:top w:val="none" w:sz="0" w:space="0" w:color="auto"/>
        <w:left w:val="none" w:sz="0" w:space="0" w:color="auto"/>
        <w:bottom w:val="none" w:sz="0" w:space="0" w:color="auto"/>
        <w:right w:val="none" w:sz="0" w:space="0" w:color="auto"/>
      </w:divBdr>
      <w:divsChild>
        <w:div w:id="610087885">
          <w:marLeft w:val="0"/>
          <w:marRight w:val="0"/>
          <w:marTop w:val="0"/>
          <w:marBottom w:val="0"/>
          <w:divBdr>
            <w:top w:val="none" w:sz="0" w:space="0" w:color="auto"/>
            <w:left w:val="none" w:sz="0" w:space="0" w:color="auto"/>
            <w:bottom w:val="none" w:sz="0" w:space="0" w:color="auto"/>
            <w:right w:val="none" w:sz="0" w:space="0" w:color="auto"/>
          </w:divBdr>
          <w:divsChild>
            <w:div w:id="1651980449">
              <w:marLeft w:val="0"/>
              <w:marRight w:val="0"/>
              <w:marTop w:val="0"/>
              <w:marBottom w:val="0"/>
              <w:divBdr>
                <w:top w:val="none" w:sz="0" w:space="0" w:color="auto"/>
                <w:left w:val="none" w:sz="0" w:space="0" w:color="auto"/>
                <w:bottom w:val="none" w:sz="0" w:space="0" w:color="auto"/>
                <w:right w:val="none" w:sz="0" w:space="0" w:color="auto"/>
              </w:divBdr>
              <w:divsChild>
                <w:div w:id="7107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99455">
      <w:bodyDiv w:val="1"/>
      <w:marLeft w:val="0"/>
      <w:marRight w:val="0"/>
      <w:marTop w:val="0"/>
      <w:marBottom w:val="0"/>
      <w:divBdr>
        <w:top w:val="none" w:sz="0" w:space="0" w:color="auto"/>
        <w:left w:val="none" w:sz="0" w:space="0" w:color="auto"/>
        <w:bottom w:val="none" w:sz="0" w:space="0" w:color="auto"/>
        <w:right w:val="none" w:sz="0" w:space="0" w:color="auto"/>
      </w:divBdr>
      <w:divsChild>
        <w:div w:id="812913120">
          <w:marLeft w:val="0"/>
          <w:marRight w:val="0"/>
          <w:marTop w:val="0"/>
          <w:marBottom w:val="0"/>
          <w:divBdr>
            <w:top w:val="none" w:sz="0" w:space="0" w:color="auto"/>
            <w:left w:val="none" w:sz="0" w:space="0" w:color="auto"/>
            <w:bottom w:val="none" w:sz="0" w:space="0" w:color="auto"/>
            <w:right w:val="none" w:sz="0" w:space="0" w:color="auto"/>
          </w:divBdr>
          <w:divsChild>
            <w:div w:id="1006057540">
              <w:marLeft w:val="0"/>
              <w:marRight w:val="0"/>
              <w:marTop w:val="0"/>
              <w:marBottom w:val="0"/>
              <w:divBdr>
                <w:top w:val="none" w:sz="0" w:space="0" w:color="auto"/>
                <w:left w:val="none" w:sz="0" w:space="0" w:color="auto"/>
                <w:bottom w:val="none" w:sz="0" w:space="0" w:color="auto"/>
                <w:right w:val="none" w:sz="0" w:space="0" w:color="auto"/>
              </w:divBdr>
              <w:divsChild>
                <w:div w:id="701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3179">
      <w:bodyDiv w:val="1"/>
      <w:marLeft w:val="0"/>
      <w:marRight w:val="0"/>
      <w:marTop w:val="0"/>
      <w:marBottom w:val="0"/>
      <w:divBdr>
        <w:top w:val="none" w:sz="0" w:space="0" w:color="auto"/>
        <w:left w:val="none" w:sz="0" w:space="0" w:color="auto"/>
        <w:bottom w:val="none" w:sz="0" w:space="0" w:color="auto"/>
        <w:right w:val="none" w:sz="0" w:space="0" w:color="auto"/>
      </w:divBdr>
      <w:divsChild>
        <w:div w:id="12019505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sChild>
                <w:div w:id="14026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5241">
      <w:bodyDiv w:val="1"/>
      <w:marLeft w:val="0"/>
      <w:marRight w:val="0"/>
      <w:marTop w:val="0"/>
      <w:marBottom w:val="0"/>
      <w:divBdr>
        <w:top w:val="none" w:sz="0" w:space="0" w:color="auto"/>
        <w:left w:val="none" w:sz="0" w:space="0" w:color="auto"/>
        <w:bottom w:val="none" w:sz="0" w:space="0" w:color="auto"/>
        <w:right w:val="none" w:sz="0" w:space="0" w:color="auto"/>
      </w:divBdr>
      <w:divsChild>
        <w:div w:id="2105110311">
          <w:marLeft w:val="0"/>
          <w:marRight w:val="0"/>
          <w:marTop w:val="0"/>
          <w:marBottom w:val="0"/>
          <w:divBdr>
            <w:top w:val="none" w:sz="0" w:space="0" w:color="auto"/>
            <w:left w:val="none" w:sz="0" w:space="0" w:color="auto"/>
            <w:bottom w:val="none" w:sz="0" w:space="0" w:color="auto"/>
            <w:right w:val="none" w:sz="0" w:space="0" w:color="auto"/>
          </w:divBdr>
          <w:divsChild>
            <w:div w:id="295330766">
              <w:marLeft w:val="0"/>
              <w:marRight w:val="0"/>
              <w:marTop w:val="0"/>
              <w:marBottom w:val="0"/>
              <w:divBdr>
                <w:top w:val="none" w:sz="0" w:space="0" w:color="auto"/>
                <w:left w:val="none" w:sz="0" w:space="0" w:color="auto"/>
                <w:bottom w:val="none" w:sz="0" w:space="0" w:color="auto"/>
                <w:right w:val="none" w:sz="0" w:space="0" w:color="auto"/>
              </w:divBdr>
              <w:divsChild>
                <w:div w:id="169609837">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01010">
      <w:bodyDiv w:val="1"/>
      <w:marLeft w:val="0"/>
      <w:marRight w:val="0"/>
      <w:marTop w:val="0"/>
      <w:marBottom w:val="0"/>
      <w:divBdr>
        <w:top w:val="none" w:sz="0" w:space="0" w:color="auto"/>
        <w:left w:val="none" w:sz="0" w:space="0" w:color="auto"/>
        <w:bottom w:val="none" w:sz="0" w:space="0" w:color="auto"/>
        <w:right w:val="none" w:sz="0" w:space="0" w:color="auto"/>
      </w:divBdr>
      <w:divsChild>
        <w:div w:id="1959137888">
          <w:marLeft w:val="0"/>
          <w:marRight w:val="0"/>
          <w:marTop w:val="0"/>
          <w:marBottom w:val="0"/>
          <w:divBdr>
            <w:top w:val="none" w:sz="0" w:space="0" w:color="auto"/>
            <w:left w:val="none" w:sz="0" w:space="0" w:color="auto"/>
            <w:bottom w:val="none" w:sz="0" w:space="0" w:color="auto"/>
            <w:right w:val="none" w:sz="0" w:space="0" w:color="auto"/>
          </w:divBdr>
          <w:divsChild>
            <w:div w:id="62995907">
              <w:marLeft w:val="0"/>
              <w:marRight w:val="0"/>
              <w:marTop w:val="0"/>
              <w:marBottom w:val="0"/>
              <w:divBdr>
                <w:top w:val="none" w:sz="0" w:space="0" w:color="auto"/>
                <w:left w:val="none" w:sz="0" w:space="0" w:color="auto"/>
                <w:bottom w:val="none" w:sz="0" w:space="0" w:color="auto"/>
                <w:right w:val="none" w:sz="0" w:space="0" w:color="auto"/>
              </w:divBdr>
              <w:divsChild>
                <w:div w:id="3437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26935">
      <w:bodyDiv w:val="1"/>
      <w:marLeft w:val="0"/>
      <w:marRight w:val="0"/>
      <w:marTop w:val="0"/>
      <w:marBottom w:val="0"/>
      <w:divBdr>
        <w:top w:val="none" w:sz="0" w:space="0" w:color="auto"/>
        <w:left w:val="none" w:sz="0" w:space="0" w:color="auto"/>
        <w:bottom w:val="none" w:sz="0" w:space="0" w:color="auto"/>
        <w:right w:val="none" w:sz="0" w:space="0" w:color="auto"/>
      </w:divBdr>
      <w:divsChild>
        <w:div w:id="1500004536">
          <w:marLeft w:val="0"/>
          <w:marRight w:val="0"/>
          <w:marTop w:val="0"/>
          <w:marBottom w:val="0"/>
          <w:divBdr>
            <w:top w:val="none" w:sz="0" w:space="0" w:color="auto"/>
            <w:left w:val="none" w:sz="0" w:space="0" w:color="auto"/>
            <w:bottom w:val="none" w:sz="0" w:space="0" w:color="auto"/>
            <w:right w:val="none" w:sz="0" w:space="0" w:color="auto"/>
          </w:divBdr>
          <w:divsChild>
            <w:div w:id="147140447">
              <w:marLeft w:val="0"/>
              <w:marRight w:val="0"/>
              <w:marTop w:val="0"/>
              <w:marBottom w:val="0"/>
              <w:divBdr>
                <w:top w:val="none" w:sz="0" w:space="0" w:color="auto"/>
                <w:left w:val="none" w:sz="0" w:space="0" w:color="auto"/>
                <w:bottom w:val="none" w:sz="0" w:space="0" w:color="auto"/>
                <w:right w:val="none" w:sz="0" w:space="0" w:color="auto"/>
              </w:divBdr>
              <w:divsChild>
                <w:div w:id="599215179">
                  <w:marLeft w:val="0"/>
                  <w:marRight w:val="0"/>
                  <w:marTop w:val="0"/>
                  <w:marBottom w:val="0"/>
                  <w:divBdr>
                    <w:top w:val="none" w:sz="0" w:space="0" w:color="auto"/>
                    <w:left w:val="none" w:sz="0" w:space="0" w:color="auto"/>
                    <w:bottom w:val="none" w:sz="0" w:space="0" w:color="auto"/>
                    <w:right w:val="none" w:sz="0" w:space="0" w:color="auto"/>
                  </w:divBdr>
                  <w:divsChild>
                    <w:div w:id="1940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15901">
      <w:bodyDiv w:val="1"/>
      <w:marLeft w:val="0"/>
      <w:marRight w:val="0"/>
      <w:marTop w:val="0"/>
      <w:marBottom w:val="0"/>
      <w:divBdr>
        <w:top w:val="none" w:sz="0" w:space="0" w:color="auto"/>
        <w:left w:val="none" w:sz="0" w:space="0" w:color="auto"/>
        <w:bottom w:val="none" w:sz="0" w:space="0" w:color="auto"/>
        <w:right w:val="none" w:sz="0" w:space="0" w:color="auto"/>
      </w:divBdr>
      <w:divsChild>
        <w:div w:id="333804445">
          <w:marLeft w:val="0"/>
          <w:marRight w:val="0"/>
          <w:marTop w:val="0"/>
          <w:marBottom w:val="0"/>
          <w:divBdr>
            <w:top w:val="none" w:sz="0" w:space="0" w:color="auto"/>
            <w:left w:val="none" w:sz="0" w:space="0" w:color="auto"/>
            <w:bottom w:val="none" w:sz="0" w:space="0" w:color="auto"/>
            <w:right w:val="none" w:sz="0" w:space="0" w:color="auto"/>
          </w:divBdr>
          <w:divsChild>
            <w:div w:id="154348654">
              <w:marLeft w:val="0"/>
              <w:marRight w:val="0"/>
              <w:marTop w:val="0"/>
              <w:marBottom w:val="0"/>
              <w:divBdr>
                <w:top w:val="none" w:sz="0" w:space="0" w:color="auto"/>
                <w:left w:val="none" w:sz="0" w:space="0" w:color="auto"/>
                <w:bottom w:val="none" w:sz="0" w:space="0" w:color="auto"/>
                <w:right w:val="none" w:sz="0" w:space="0" w:color="auto"/>
              </w:divBdr>
              <w:divsChild>
                <w:div w:id="10018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7467">
      <w:bodyDiv w:val="1"/>
      <w:marLeft w:val="0"/>
      <w:marRight w:val="0"/>
      <w:marTop w:val="0"/>
      <w:marBottom w:val="0"/>
      <w:divBdr>
        <w:top w:val="none" w:sz="0" w:space="0" w:color="auto"/>
        <w:left w:val="none" w:sz="0" w:space="0" w:color="auto"/>
        <w:bottom w:val="none" w:sz="0" w:space="0" w:color="auto"/>
        <w:right w:val="none" w:sz="0" w:space="0" w:color="auto"/>
      </w:divBdr>
    </w:div>
    <w:div w:id="2081636184">
      <w:bodyDiv w:val="1"/>
      <w:marLeft w:val="0"/>
      <w:marRight w:val="0"/>
      <w:marTop w:val="0"/>
      <w:marBottom w:val="0"/>
      <w:divBdr>
        <w:top w:val="none" w:sz="0" w:space="0" w:color="auto"/>
        <w:left w:val="none" w:sz="0" w:space="0" w:color="auto"/>
        <w:bottom w:val="none" w:sz="0" w:space="0" w:color="auto"/>
        <w:right w:val="none" w:sz="0" w:space="0" w:color="auto"/>
      </w:divBdr>
      <w:divsChild>
        <w:div w:id="1919554032">
          <w:marLeft w:val="0"/>
          <w:marRight w:val="0"/>
          <w:marTop w:val="0"/>
          <w:marBottom w:val="0"/>
          <w:divBdr>
            <w:top w:val="none" w:sz="0" w:space="0" w:color="auto"/>
            <w:left w:val="none" w:sz="0" w:space="0" w:color="auto"/>
            <w:bottom w:val="none" w:sz="0" w:space="0" w:color="auto"/>
            <w:right w:val="none" w:sz="0" w:space="0" w:color="auto"/>
          </w:divBdr>
          <w:divsChild>
            <w:div w:id="2008819788">
              <w:marLeft w:val="0"/>
              <w:marRight w:val="0"/>
              <w:marTop w:val="0"/>
              <w:marBottom w:val="0"/>
              <w:divBdr>
                <w:top w:val="none" w:sz="0" w:space="0" w:color="auto"/>
                <w:left w:val="none" w:sz="0" w:space="0" w:color="auto"/>
                <w:bottom w:val="none" w:sz="0" w:space="0" w:color="auto"/>
                <w:right w:val="none" w:sz="0" w:space="0" w:color="auto"/>
              </w:divBdr>
              <w:divsChild>
                <w:div w:id="1407722231">
                  <w:marLeft w:val="0"/>
                  <w:marRight w:val="0"/>
                  <w:marTop w:val="0"/>
                  <w:marBottom w:val="0"/>
                  <w:divBdr>
                    <w:top w:val="none" w:sz="0" w:space="0" w:color="auto"/>
                    <w:left w:val="none" w:sz="0" w:space="0" w:color="auto"/>
                    <w:bottom w:val="none" w:sz="0" w:space="0" w:color="auto"/>
                    <w:right w:val="none" w:sz="0" w:space="0" w:color="auto"/>
                  </w:divBdr>
                  <w:divsChild>
                    <w:div w:id="9954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4720">
          <w:marLeft w:val="0"/>
          <w:marRight w:val="0"/>
          <w:marTop w:val="0"/>
          <w:marBottom w:val="0"/>
          <w:divBdr>
            <w:top w:val="none" w:sz="0" w:space="0" w:color="auto"/>
            <w:left w:val="none" w:sz="0" w:space="0" w:color="auto"/>
            <w:bottom w:val="none" w:sz="0" w:space="0" w:color="auto"/>
            <w:right w:val="none" w:sz="0" w:space="0" w:color="auto"/>
          </w:divBdr>
          <w:divsChild>
            <w:div w:id="943925077">
              <w:marLeft w:val="0"/>
              <w:marRight w:val="0"/>
              <w:marTop w:val="0"/>
              <w:marBottom w:val="0"/>
              <w:divBdr>
                <w:top w:val="none" w:sz="0" w:space="0" w:color="auto"/>
                <w:left w:val="none" w:sz="0" w:space="0" w:color="auto"/>
                <w:bottom w:val="none" w:sz="0" w:space="0" w:color="auto"/>
                <w:right w:val="none" w:sz="0" w:space="0" w:color="auto"/>
              </w:divBdr>
              <w:divsChild>
                <w:div w:id="1648630591">
                  <w:marLeft w:val="0"/>
                  <w:marRight w:val="0"/>
                  <w:marTop w:val="0"/>
                  <w:marBottom w:val="0"/>
                  <w:divBdr>
                    <w:top w:val="none" w:sz="0" w:space="0" w:color="auto"/>
                    <w:left w:val="none" w:sz="0" w:space="0" w:color="auto"/>
                    <w:bottom w:val="none" w:sz="0" w:space="0" w:color="auto"/>
                    <w:right w:val="none" w:sz="0" w:space="0" w:color="auto"/>
                  </w:divBdr>
                  <w:divsChild>
                    <w:div w:id="1086615015">
                      <w:marLeft w:val="0"/>
                      <w:marRight w:val="0"/>
                      <w:marTop w:val="0"/>
                      <w:marBottom w:val="0"/>
                      <w:divBdr>
                        <w:top w:val="none" w:sz="0" w:space="0" w:color="auto"/>
                        <w:left w:val="none" w:sz="0" w:space="0" w:color="auto"/>
                        <w:bottom w:val="none" w:sz="0" w:space="0" w:color="auto"/>
                        <w:right w:val="none" w:sz="0" w:space="0" w:color="auto"/>
                      </w:divBdr>
                    </w:div>
                  </w:divsChild>
                </w:div>
                <w:div w:id="2134903517">
                  <w:marLeft w:val="0"/>
                  <w:marRight w:val="0"/>
                  <w:marTop w:val="0"/>
                  <w:marBottom w:val="0"/>
                  <w:divBdr>
                    <w:top w:val="none" w:sz="0" w:space="0" w:color="auto"/>
                    <w:left w:val="none" w:sz="0" w:space="0" w:color="auto"/>
                    <w:bottom w:val="none" w:sz="0" w:space="0" w:color="auto"/>
                    <w:right w:val="none" w:sz="0" w:space="0" w:color="auto"/>
                  </w:divBdr>
                  <w:divsChild>
                    <w:div w:id="1592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dairyanalytics.co.nz" TargetMode="External"/><Relationship Id="rId4" Type="http://schemas.openxmlformats.org/officeDocument/2006/relationships/settings" Target="settings.xml"/><Relationship Id="rId9" Type="http://schemas.openxmlformats.org/officeDocument/2006/relationships/hyperlink" Target="mailto:oscar@dairyanalytics.co.nz"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dairyanalytics.co.nz"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dairyanalytics.co.nz/dairy_analytics_fx_hedging.pdf" TargetMode="External"/><Relationship Id="rId3" Type="http://schemas.openxmlformats.org/officeDocument/2006/relationships/hyperlink" Target="https://view.publitas.com/fonterra/fonterras-farmgate-milk-price-statement-2019/page/1" TargetMode="External"/><Relationship Id="rId7" Type="http://schemas.openxmlformats.org/officeDocument/2006/relationships/hyperlink" Target="http://www.legislation.govt.nz/act/public/2001/0051/latest/whole.html" TargetMode="External"/><Relationship Id="rId2" Type="http://schemas.openxmlformats.org/officeDocument/2006/relationships/hyperlink" Target="https://view.publitas.com/fonterra/fonterras-farmgate-milk-price-statement-2019/page/1" TargetMode="External"/><Relationship Id="rId1" Type="http://schemas.openxmlformats.org/officeDocument/2006/relationships/hyperlink" Target="https://comcom.govt.nz/__data/assets/pdf_file/0023/181922/Draft-report-Review-of-Fonterras-2019-20-Milk-Price-Manual-15-October-2019.pdf" TargetMode="External"/><Relationship Id="rId6" Type="http://schemas.openxmlformats.org/officeDocument/2006/relationships/hyperlink" Target="https://comcom.govt.nz/__data/assets/pdf_file/0023/181922/Draft-report-Review-of-Fonterras-2019-20-Milk-Price-Manual-15-October-2019.pdf" TargetMode="External"/><Relationship Id="rId5" Type="http://schemas.openxmlformats.org/officeDocument/2006/relationships/hyperlink" Target="https://comcom.govt.nz/__data/assets/pdf_file/0034/109888/TDB-Submission-on-draft-report-on-review-of-Fonterras-2018-19-Milk-price-manual-16-November-2018.pdf" TargetMode="External"/><Relationship Id="rId4" Type="http://schemas.openxmlformats.org/officeDocument/2006/relationships/hyperlink" Target="https://comcom.govt.nz/__data/assets/pdf_file/0037/173998/Final-report-Review-of-Fonterras-2018-19-base-milk-price-calculation-12-August-2019.pdf" TargetMode="External"/><Relationship Id="rId9" Type="http://schemas.openxmlformats.org/officeDocument/2006/relationships/hyperlink" Target="https://www.fonterra.com/content/dam/fonterra-public-website/fonterra-new-zealand/documents/pdf/milk-prices/2020/F20_Milk_Price_Manual_1August2019.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C1F30E48B94C47949458903674CC9C"/>
        <w:category>
          <w:name w:val="General"/>
          <w:gallery w:val="placeholder"/>
        </w:category>
        <w:types>
          <w:type w:val="bbPlcHdr"/>
        </w:types>
        <w:behaviors>
          <w:behavior w:val="content"/>
        </w:behaviors>
        <w:guid w:val="{8ED0E1CD-26AD-FA4D-B7A9-AEB9D1BDED8F}"/>
      </w:docPartPr>
      <w:docPartBody>
        <w:p w:rsidR="00AB2616" w:rsidRDefault="00AB2616" w:rsidP="00AB2616">
          <w:pPr>
            <w:pStyle w:val="6DC1F30E48B94C47949458903674CC9C"/>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16"/>
    <w:rsid w:val="00AB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616"/>
    <w:rPr>
      <w:color w:val="808080"/>
    </w:rPr>
  </w:style>
  <w:style w:type="paragraph" w:customStyle="1" w:styleId="7222B10F0C839F4EAA22A12C42D31678">
    <w:name w:val="7222B10F0C839F4EAA22A12C42D31678"/>
    <w:rsid w:val="00AB2616"/>
  </w:style>
  <w:style w:type="paragraph" w:customStyle="1" w:styleId="DB26C8CADEAA3B42A47D62267D11EB8D">
    <w:name w:val="DB26C8CADEAA3B42A47D62267D11EB8D"/>
    <w:rsid w:val="00AB2616"/>
  </w:style>
  <w:style w:type="paragraph" w:customStyle="1" w:styleId="4EBAA1508D048847A5F642A9E58048EA">
    <w:name w:val="4EBAA1508D048847A5F642A9E58048EA"/>
    <w:rsid w:val="00AB2616"/>
  </w:style>
  <w:style w:type="paragraph" w:customStyle="1" w:styleId="6DC1F30E48B94C47949458903674CC9C">
    <w:name w:val="6DC1F30E48B94C47949458903674CC9C"/>
    <w:rsid w:val="00AB2616"/>
  </w:style>
  <w:style w:type="paragraph" w:customStyle="1" w:styleId="BD466AB9FC7BAF48BD8482E67B55B0F8">
    <w:name w:val="BD466AB9FC7BAF48BD8482E67B55B0F8"/>
    <w:rsid w:val="00AB2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F1AC-2AF4-5A4B-AB50-89C90D25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Submission on draft review of Fonterra’s 2019/20 Milk Price Manual</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on draft review of Fonterra’s 2019/20 Milk Price Manual</dc:title>
  <dc:subject/>
  <dc:creator>Dr.</dc:creator>
  <cp:keywords/>
  <dc:description/>
  <cp:lastModifiedBy>Oscar Macleod Dowson</cp:lastModifiedBy>
  <cp:revision>27</cp:revision>
  <dcterms:created xsi:type="dcterms:W3CDTF">2019-10-15T13:34:00Z</dcterms:created>
  <dcterms:modified xsi:type="dcterms:W3CDTF">2019-10-17T01:57:00Z</dcterms:modified>
</cp:coreProperties>
</file>