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摘要"/>
    <w:p>
      <w:pPr>
        <w:pStyle w:val="1"/>
      </w:pPr>
      <w:r>
        <w:rPr>
          <w:rFonts w:hint="eastAsia"/>
        </w:rPr>
        <w:t xml:space="preserve">摘要</w:t>
      </w:r>
    </w:p>
    <w:p>
      <w:pPr>
        <w:pStyle w:val="FirstParagraph"/>
      </w:pPr>
      <w:r>
        <w:rPr>
          <w:rFonts w:hint="eastAsia"/>
        </w:rPr>
        <w:t xml:space="preserve">C++模板元编程（Template</w:t>
      </w:r>
      <w:r>
        <w:t xml:space="preserve"> </w:t>
      </w:r>
      <w:r>
        <w:rPr>
          <w:rFonts w:hint="eastAsia"/>
        </w:rPr>
        <w:t xml:space="preserve">Metaprogramming）是一种利用C++模板系统进行编程的技术。通过在编译时进行计算和推导，模板元编程使得程序在运行时更高效，同时也能使程序更加灵活和通用。它常用于类型推导、编译时常量计算、静态断言和优化等方面。本文将详细介绍C++模板元编程的基础概念、常见技巧以及实际应用。</w:t>
      </w:r>
    </w:p>
    <w:p>
      <w:pPr>
        <w:pStyle w:val="Abstract"/>
      </w:pPr>
      <w:r>
        <w:t>关键词：</w:t>
      </w:r>
      <w:r>
        <w:rPr>
          <w:rFonts w:ascii="Times New Roman" w:hAnsi="Times New Roman" w:eastAsia="SimSun"/>
        </w:rPr>
        <w:t>身在止境，渴望的魅力，阿瓦隆妖精</w:t>
      </w:r>
    </w:p>
    <w:bookmarkEnd w:id="9"/>
    <w:bookmarkStart w:id="10" w:name="abstract"/>
    <w:p>
      <w:pPr>
        <w:pStyle w:val="1"/>
      </w:pPr>
      <w:r>
        <w:rPr>
          <w:b/>
          <w:bCs/>
        </w:rPr>
        <w:t xml:space="preserve">Abstract</w:t>
      </w:r>
    </w:p>
    <w:p>
      <w:pPr>
        <w:pStyle w:val="FirstParagraph"/>
      </w:pPr>
      <w:r>
        <w:t xml:space="preserve">mole.</w:t>
      </w:r>
    </w:p>
    <w:p>
      <w:pPr>
        <w:pStyle w:val="Abstract"/>
      </w:pPr>
      <w:r>
        <w:rPr>
          <w:b/>
        </w:rPr>
        <w:t>Keywords:</w:t>
      </w:r>
      <w:r>
        <w:rPr>
          <w:rFonts w:ascii="Times New Roman" w:hAnsi="Times New Roman" w:eastAsia="SimSun"/>
        </w:rPr>
        <w:t>Damn, keyword2</w:t>
      </w:r>
    </w:p>
    <w:p>
      <w:pPr>
        <w:pStyle w:val="a0"/>
        <w:sectPr>
          <w:pgSz w:h="15840" w:w="12240"/>
          <w:pgMar w:bottom="1418" w:footer="1134" w:gutter="0" w:header="1134" w:left="1418" w:right="1418" w:top="1588"/>
          <w:cols w:space="425"/>
          <w:docGrid w:linePitch="312" w:type="lines"/>
          <w:footerReference w:type="default" r:id="rId9"/>
          <w:headerReference w:type="default" r:id="rId12"/>
          <w:type w:val="nextPage"/>
          <w:pgNumType w:fmt="upperRoman" w:start="1"/>
        </w:sectPr>
      </w:pPr>
    </w:p>
    <w:p>
      <w:pPr>
        <w:pStyle w:val="TOC"/>
      </w:pPr>
      <w:r>
        <w:t>目录</w:t>
      </w:r>
    </w:p>
    <w:p>
      <w:r>
        <w:fldChar w:fldCharType="begin"/>
        <w:instrText xml:space="preserve"> TOC \o "1-3" \h \z \u </w:instrText>
        <w:fldChar w:fldCharType="end"/>
      </w:r>
    </w:p>
    <w:p>
      <w:pPr>
        <w:pStyle w:val="a0"/>
        <w:sectPr>
          <w:pgSz w:h="15840" w:w="12240"/>
          <w:pgMar w:bottom="1418" w:footer="1134" w:gutter="0" w:header="1134" w:left="1418" w:right="1418" w:top="1588"/>
          <w:cols w:space="425"/>
          <w:docGrid w:linePitch="312" w:type="lines"/>
          <w:footerReference w:type="default" r:id="rId10"/>
          <w:headerReference w:type="default" r:id="rId13"/>
          <w:type w:val="nextPage"/>
          <w:pgNumType w:fmt="upperRoman" w:start="1"/>
        </w:sectPr>
      </w:pPr>
    </w:p>
    <w:bookmarkEnd w:id="10"/>
    <w:bookmarkStart w:id="15" w:name="什么是模板元编程"/>
    <w:p>
      <w:pPr>
        <w:pStyle w:val="1"/>
      </w:pPr>
      <w:r>
        <w:t xml:space="preserve">1 </w:t>
      </w:r>
      <w:r>
        <w:rPr>
          <w:rFonts w:hint="eastAsia"/>
        </w:rPr>
        <w:t xml:space="preserve">什么是模板元编程？</w:t>
      </w:r>
    </w:p>
    <w:p>
      <w:pPr>
        <w:pStyle w:val="FirstParagraph"/>
      </w:pPr>
      <w:r>
        <w:rPr>
          <w:rFonts w:hint="eastAsia"/>
        </w:rPr>
        <w:t xml:space="preserve">模板元编程是指在C++中使用模板（尤其是模板特化、SFINAE、递归模板等）进行的编程方式。通过这种方式，开发者可以在编译阶段进行大量的计算和优化。模板元编程的核心思想是将计算过程从运行时转移到编译时，达到提高程序执行效率的目的。</w:t>
      </w:r>
    </w:p>
    <w:bookmarkStart w:id="11" w:name="模板和模板实例化"/>
    <w:p>
      <w:pPr>
        <w:pStyle w:val="2"/>
      </w:pPr>
      <w:r>
        <w:t xml:space="preserve">1.1 </w:t>
      </w:r>
      <w:r>
        <w:rPr>
          <w:rFonts w:hint="eastAsia"/>
        </w:rPr>
        <w:t xml:space="preserve">模板和模板实例化</w:t>
      </w:r>
    </w:p>
    <w:p>
      <w:pPr>
        <w:pStyle w:val="FirstParagraph"/>
      </w:pPr>
      <w:r>
        <w:rPr>
          <w:rFonts w:hint="eastAsia"/>
        </w:rPr>
        <w:t xml:space="preserve">C++中的模板是一种泛型编程工具，允许在类或函数定义时指定类型或值作为参数。模板实例化是指根据实际参数生成具体的类或函数。例如：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T 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此时会实例化出 add&lt;int&gt;</w:t>
      </w:r>
      <w:r>
        <w:br/>
      </w:r>
      <w:r>
        <w:rPr>
          <w:rStyle w:val="OperatorTok"/>
        </w:rPr>
        <w:t xml:space="preserve">}</w:t>
      </w:r>
    </w:p>
    <w:bookmarkEnd w:id="11"/>
    <w:bookmarkStart w:id="13" w:name="编译时常量计算"/>
    <w:p>
      <w:pPr>
        <w:pStyle w:val="2"/>
      </w:pPr>
      <w:r>
        <w:t xml:space="preserve">1.2 </w:t>
      </w:r>
      <w:r>
        <w:rPr>
          <w:rFonts w:hint="eastAsia"/>
        </w:rPr>
        <w:t xml:space="preserve">编译时常量计算</w:t>
      </w:r>
    </w:p>
    <w:p>
      <w:pPr>
        <w:pStyle w:val="FirstParagraph"/>
      </w:pPr>
      <w:r>
        <w:rPr>
          <w:rFonts w:hint="eastAsia"/>
        </w:rPr>
        <w:t xml:space="preserve">模板元编程的一个经典应用是通过模板进行编译时常量计算。这使得程序在运行时可以避免不必要的计算，提高效率。</w:t>
      </w:r>
    </w:p>
    <w:bookmarkStart w:id="12" w:name="tbl:pass"/>
    <w:p>
      <w:pPr>
        <w:pStyle w:val="TableCaption"/>
      </w:pPr>
      <w:r>
        <w:rPr>
          <w:rFonts w:hint="eastAsia"/>
        </w:rPr>
        <w:t xml:space="preserve">表1.1</w:t>
      </w:r>
      <w:r>
        <w:t xml:space="preserve"> </w:t>
      </w:r>
      <w:r>
        <w:rPr>
          <w:rFonts w:hint="eastAsia"/>
        </w:rPr>
        <w:t xml:space="preserve">表格示例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表1.1 表格示例"/>
        <w:tblW w:w="0" w:type="auto"/>
        <w:tblBorders>
          <w:top w:val="single" w:sz="12" w:space="0" w:color="000000"/>
          <w:bottom w:val="single" w:sz="12" w:space="0" w:color="000000"/>
        </w:tblBorders>
        <w:tblLook w:val="04A0" w:firstRow="1" w:lastRow="0" w:firstColumn="1" w:lastColumn="0" w:noHBand="0" w:noVBand="1"/>
        <w:jc w:val="center"/>
      </w:tblPr>
      <w:tblGrid>
        <w:gridCol w:w="913"/>
        <w:gridCol w:w="1116"/>
        <w:gridCol w:w="1066"/>
        <w:gridCol w:w="812"/>
        <w:gridCol w:w="1370"/>
        <w:gridCol w:w="2640"/>
      </w:tblGrid>
      <w:tr>
        <w:trPr>
          <w:tblHeader w:val="on"/>
        </w:trPr>
        <w:tc>
          <w:tcPr>
            <w:tcW w:type="dxa" w:w="1547"/>
            <w:tcBorders>
              <w:bottom w:val="single" w:sz="6" w:space="0" w:color="000000"/>
            </w:tcBorders>
          </w:tcPr>
          <w:p>
            <w:pPr>
              <w:pStyle w:val="Compact"/>
            </w:pPr>
            <w:r>
              <w:rPr>
                <w:rFonts w:hint="eastAsia"/>
              </w:rPr>
              <w:t xml:space="preserve">方式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</w:tcPr>
          <w:p>
            <w:pPr>
              <w:pStyle w:val="Compact"/>
            </w:pPr>
            <w:r>
              <w:rPr>
                <w:rFonts w:hint="eastAsia"/>
              </w:rPr>
              <w:t xml:space="preserve">语法示例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</w:tcPr>
          <w:p>
            <w:pPr>
              <w:pStyle w:val="Compact"/>
            </w:pPr>
            <w:r>
              <w:rPr>
                <w:rFonts w:hint="eastAsia"/>
              </w:rPr>
              <w:t xml:space="preserve">是否可修改原始变量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</w:tcPr>
          <w:p>
            <w:pPr>
              <w:pStyle w:val="Compact"/>
            </w:pPr>
            <w:r>
              <w:rPr>
                <w:rFonts w:hint="eastAsia"/>
              </w:rPr>
              <w:t xml:space="preserve">是否有拷贝开销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</w:tcPr>
          <w:p>
            <w:pPr>
              <w:pStyle w:val="Compact"/>
            </w:pPr>
            <w:r>
              <w:rPr>
                <w:rFonts w:hint="eastAsia"/>
              </w:rPr>
              <w:t xml:space="preserve">常用于</w:t>
            </w:r>
          </w:p>
        </w:tc>
        <w:tc>
          <w:tcPr>
            <w:tcW w:type="dxa" w:w="1547"/>
            <w:tcBorders>
              <w:bottom w:val="single" w:sz="6" w:space="0" w:color="000000"/>
            </w:tcBorders>
          </w:tcPr>
          <w:p>
            <w:pPr>
              <w:pStyle w:val="Compact"/>
            </w:pPr>
            <w:r>
              <w:rPr>
                <w:rFonts w:hint="eastAsia"/>
              </w:rPr>
              <w:t xml:space="preserve">特点与注意事项</w:t>
            </w:r>
          </w:p>
        </w:tc>
      </w:tr>
      <w:tr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按值传递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Style w:val="VerbatimChar"/>
              </w:rPr>
              <w:t xml:space="preserve">void f(int x)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小型内建类型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会复制参数，修改不会影响原始变量</w:t>
            </w:r>
          </w:p>
        </w:tc>
      </w:tr>
      <w:tr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按引用传递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Style w:val="VerbatimChar"/>
              </w:rPr>
              <w:t xml:space="preserve">void f(int&amp; x)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需要修改原始变量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直接操作原始对象，调用者可见修改</w:t>
            </w:r>
          </w:p>
        </w:tc>
      </w:tr>
      <w:tr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常量引用传递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Style w:val="VerbatimChar"/>
              </w:rPr>
              <w:t xml:space="preserve">void f(const int&amp; x)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否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大对象只读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避免复制，保护原始对象不被修改</w:t>
            </w:r>
          </w:p>
        </w:tc>
      </w:tr>
      <w:tr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指针传递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Style w:val="VerbatimChar"/>
              </w:rPr>
              <w:t xml:space="preserve">void f(int* x)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是（非空指针）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✅（视情况而定）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需要处理可空对象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需检查指针有效性，可模拟引用功能</w:t>
            </w:r>
          </w:p>
        </w:tc>
      </w:tr>
      <w:tr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右值引用传递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Style w:val="VerbatimChar"/>
              </w:rPr>
              <w:t xml:space="preserve">void f(int&amp;&amp; x)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是（可移动资源）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t xml:space="preserve">❌ </w:t>
            </w:r>
            <w:r>
              <w:rPr>
                <w:rFonts w:hint="eastAsia"/>
              </w:rPr>
              <w:t xml:space="preserve">否（移动）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移动语义实现、完美转发</w:t>
            </w:r>
          </w:p>
        </w:tc>
        <w:tc>
          <w:tcPr>
            <w:tcW w:type="dxa" w:w="1547"/>
          </w:tcPr>
          <w:p>
            <w:pPr>
              <w:pStyle w:val="Compact"/>
            </w:pPr>
            <w:r>
              <w:rPr>
                <w:rFonts w:hint="eastAsia"/>
              </w:rPr>
              <w:t xml:space="preserve">只能绑定到右值，常与</w:t>
            </w:r>
            <w:r>
              <w:t xml:space="preserve"> </w:t>
            </w:r>
            <w:r>
              <w:rPr>
                <w:rStyle w:val="VerbatimChar"/>
              </w:rPr>
              <w:t xml:space="preserve">std::move</w:t>
            </w:r>
            <w:r>
              <w:t xml:space="preserve"> </w:t>
            </w:r>
            <w:r>
              <w:rPr>
                <w:rFonts w:hint="eastAsia"/>
              </w:rPr>
              <w:t xml:space="preserve">和模板配合使用</w:t>
            </w:r>
          </w:p>
        </w:tc>
      </w:tr>
    </w:tbl>
    <w:bookmarkEnd w:id="12"/>
    <w:p>
      <w:pPr>
        <w:pStyle w:val="a0"/>
      </w:pPr>
      <w:r>
        <w:rPr>
          <w:rFonts w:hint="eastAsia"/>
        </w:rPr>
        <w:t xml:space="preserve">我引用表1.1。</w:t>
      </w:r>
      <w:r>
        <w:t xml:space="preserve"> </w:t>
      </w:r>
      <w:r>
        <w:rPr>
          <w:rFonts w:hint="eastAsia"/>
        </w:rPr>
        <w:t xml:space="preserve">例如，计算阶乘：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通过模板递归，可以在编译时计算阶乘的值。对于</w:t>
      </w:r>
      <w:r>
        <w:rPr>
          <w:rStyle w:val="VerbatimChar"/>
        </w:rPr>
        <w:t xml:space="preserve">Factorial&lt;5&gt;::value</w:t>
      </w:r>
      <w:r>
        <w:rPr>
          <w:rFonts w:hint="eastAsia"/>
        </w:rPr>
        <w:t xml:space="preserve">，编译器会直接给出结果</w:t>
      </w:r>
      <w:r>
        <w:rPr>
          <w:rStyle w:val="VerbatimChar"/>
        </w:rPr>
        <w:t xml:space="preserve">120</w:t>
      </w:r>
      <w:r>
        <w:t xml:space="preserve">。</w:t>
      </w:r>
    </w:p>
    <w:bookmarkEnd w:id="13"/>
    <w:bookmarkStart w:id="14" w:name="编译时类型推导"/>
    <w:p>
      <w:pPr>
        <w:pStyle w:val="2"/>
      </w:pPr>
      <w:r>
        <w:t xml:space="preserve">1.3 </w:t>
      </w:r>
      <w:r>
        <w:rPr>
          <w:rFonts w:hint="eastAsia"/>
        </w:rPr>
        <w:t xml:space="preserve">编译时类型推导</w:t>
      </w:r>
    </w:p>
    <w:p>
      <w:pPr>
        <w:pStyle w:val="FirstParagraph"/>
      </w:pPr>
      <w:r>
        <w:rPr>
          <w:rFonts w:hint="eastAsia"/>
        </w:rPr>
        <w:t xml:space="preserve">C++模板元编程还可以实现编译时类型推导。例如，可以通过</w:t>
      </w:r>
      <w:r>
        <w:rPr>
          <w:rStyle w:val="VerbatimChar"/>
        </w:rPr>
        <w:t xml:space="preserve">std::is_same</w:t>
      </w:r>
      <w:r>
        <w:rPr>
          <w:rFonts w:hint="eastAsia"/>
        </w:rPr>
        <w:t xml:space="preserve">判断两个类型是否相同：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&lt;type_traits&gt;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IsSame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is_same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这段代码会在编译时计算出两个类型是否相同，并将结果存储为</w:t>
      </w:r>
      <w:r>
        <w:rPr>
          <w:rStyle w:val="VerbatimChar"/>
        </w:rPr>
        <w:t xml:space="preserve">value</w:t>
      </w:r>
      <w:r>
        <w:t xml:space="preserve">。</w:t>
      </w:r>
    </w:p>
    <w:bookmarkEnd w:id="14"/>
    <w:bookmarkEnd w:id="15"/>
    <w:bookmarkStart w:id="22" w:name="常见的模板元编程技巧"/>
    <w:p>
      <w:pPr>
        <w:pStyle w:val="1"/>
      </w:pPr>
      <w:r>
        <w:t xml:space="preserve">2 </w:t>
      </w:r>
      <w:r>
        <w:rPr>
          <w:rFonts w:hint="eastAsia"/>
        </w:rPr>
        <w:t xml:space="preserve">常见的模板元编程技巧</w:t>
      </w:r>
    </w:p>
    <w:bookmarkStart w:id="16" w:name="模板特化"/>
    <w:p>
      <w:pPr>
        <w:pStyle w:val="2"/>
      </w:pPr>
      <w:r>
        <w:t xml:space="preserve">2.1 </w:t>
      </w:r>
      <w:r>
        <w:rPr>
          <w:rFonts w:hint="eastAsia"/>
        </w:rPr>
        <w:t xml:space="preserve">模板特化</w:t>
      </w:r>
    </w:p>
    <w:p>
      <w:pPr>
        <w:pStyle w:val="FirstParagraph"/>
      </w:pPr>
      <w:r>
        <w:rPr>
          <w:rFonts w:hint="eastAsia"/>
        </w:rPr>
        <w:t xml:space="preserve">模板特化是模板元编程中常用的技巧。它允许开发者为特定的类型或值提供不同的实现。这种方式可以用于优化代码，或者处理一些特殊的边界情况。</w:t>
      </w:r>
    </w:p>
    <w:p>
      <w:pPr>
        <w:pStyle w:val="a0"/>
      </w:pPr>
      <w:r>
        <w:rPr>
          <w:rFonts w:hint="eastAsia"/>
        </w:rPr>
        <w:t xml:space="preserve">例如：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Print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"Generic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Print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OperatorTok"/>
        </w:rPr>
        <w:t xml:space="preserve">()()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"Integer type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对于</w:t>
      </w:r>
      <w:r>
        <w:rPr>
          <w:rStyle w:val="VerbatimChar"/>
        </w:rPr>
        <w:t xml:space="preserve">Print&lt;int&gt;</w:t>
      </w:r>
      <w:r>
        <w:rPr>
          <w:rFonts w:hint="eastAsia"/>
        </w:rPr>
        <w:t xml:space="preserve">，编译器会使用特化版本，而对于其他类型则使用默认版本。</w:t>
      </w:r>
    </w:p>
    <w:bookmarkEnd w:id="16"/>
    <w:bookmarkStart w:id="21" w:name="X1bf4b8c1fa0f615416c91f969f287ba1d03ca4d"/>
    <w:p>
      <w:pPr>
        <w:pStyle w:val="2"/>
      </w:pPr>
      <w:r>
        <w:t xml:space="preserve">2.2 </w:t>
      </w:r>
      <w:r>
        <w:rPr>
          <w:rFonts w:hint="eastAsia"/>
        </w:rPr>
        <w:t xml:space="preserve">SFINAE（Substitution</w:t>
      </w:r>
      <w:r>
        <w:t xml:space="preserve"> Failure Is Not An </w:t>
      </w:r>
      <w:r>
        <w:rPr>
          <w:rFonts w:hint="eastAsia"/>
        </w:rPr>
        <w:t xml:space="preserve">Error）</w:t>
      </w:r>
    </w:p>
    <w:p>
      <w:pPr>
        <w:pStyle w:val="FirstParagraph"/>
      </w:pPr>
      <w:r>
        <w:rPr>
          <w:rFonts w:hint="eastAsia"/>
        </w:rPr>
        <w:t xml:space="preserve">SFINAE是模板元编程中的一种技术，它使得模板选择更加灵活。通过SFINAE，可以根据模板参数的特性选择不同的实现，而不是仅仅因为模板实例化失败而导致编译错误。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has_begin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decltype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begin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</w:t>
      </w:r>
      <w:r>
        <w:rPr>
          <w:rStyle w:val="OperatorTok"/>
        </w:rPr>
        <w:t xml:space="preserve">{})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true_type</w:t>
      </w:r>
      <w:r>
        <w:rPr>
          <w:rStyle w:val="OperatorTok"/>
        </w:rPr>
        <w:t xml:space="preserve">{};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 has_begin</w:t>
      </w:r>
      <w:r>
        <w:rPr>
          <w:rStyle w:val="OperatorTok"/>
        </w:rPr>
        <w:t xml:space="preserve">(...)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false_type</w:t>
      </w:r>
      <w:r>
        <w:rPr>
          <w:rStyle w:val="OperatorTok"/>
        </w:rPr>
        <w:t xml:space="preserve">{};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decltype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std::begin</w:t>
      </w:r>
      <w:r>
        <w:rPr>
          <w:rFonts w:hint="eastAsia"/>
        </w:rPr>
        <w:t xml:space="preserve">，可以判断一个类型是否具有</w:t>
      </w:r>
      <w:r>
        <w:rPr>
          <w:rStyle w:val="VerbatimChar"/>
        </w:rPr>
        <w:t xml:space="preserve">begin</w:t>
      </w:r>
      <w:r>
        <w:rPr>
          <w:rFonts w:hint="eastAsia"/>
        </w:rPr>
        <w:t xml:space="preserve">函数，并根据结果选择不同的实现。</w:t>
      </w:r>
    </w:p>
    <w:bookmarkStart w:id="20" w:name="fig:abi"/>
    <w:p>
      <w:pPr>
        <w:pStyle w:val="CaptionedFigure"/>
      </w:pPr>
      <w:r>
        <w:drawing>
          <wp:inline>
            <wp:extent cx="5969000" cy="4476750"/>
            <wp:effectExtent b="0" l="0" r="0" t="0"/>
            <wp:docPr descr="图2.1 意义不明的图片展示" title="" id="18" name="Picture"/>
            <a:graphic>
              <a:graphicData uri="http://schemas.openxmlformats.org/drawingml/2006/picture">
                <pic:pic>
                  <pic:nvPicPr>
                    <pic:cNvPr descr="assets/1280px-Linux_kernel_interfaces.svg.png" id="19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>图2-1</w:t>
      </w:r>
      <w:r>
        <w:t xml:space="preserve"> </w:t>
      </w:r>
      <w:r>
        <w:rPr>
          <w:rFonts w:hint="eastAsia"/>
        </w:rPr>
        <w:t>意义不明的图片展示</w:t>
      </w:r>
    </w:p>
    <w:bookmarkEnd w:id="20"/>
    <w:bookmarkEnd w:id="21"/>
    <w:bookmarkEnd w:id="22"/>
    <w:bookmarkStart w:id="26" w:name="模板元编程的实际应用"/>
    <w:p>
      <w:pPr>
        <w:pStyle w:val="1"/>
      </w:pPr>
      <w:r>
        <w:t xml:space="preserve">3 </w:t>
      </w:r>
      <w:r>
        <w:rPr>
          <w:rFonts w:hint="eastAsia"/>
        </w:rPr>
        <w:t xml:space="preserve">模板元编程的实际应用</w:t>
      </w:r>
    </w:p>
    <w:bookmarkStart w:id="23" w:name="编译时常量计算-1"/>
    <w:p>
      <w:pPr>
        <w:pStyle w:val="2"/>
      </w:pPr>
      <w:r>
        <w:t xml:space="preserve">3.1 </w:t>
      </w:r>
      <w:r>
        <w:rPr>
          <w:rFonts w:hint="eastAsia"/>
        </w:rPr>
        <w:t xml:space="preserve">编译时常量计算</w:t>
      </w:r>
    </w:p>
    <w:p>
      <w:pPr>
        <w:pStyle w:val="FirstParagraph"/>
      </w:pPr>
      <w:r>
        <w:rPr>
          <w:rFonts w:hint="eastAsia"/>
        </w:rPr>
        <w:t xml:space="preserve">如前所述，模板元编程常用于计算常量。这种计算通常是递归计算、常量表达式求值等。</w:t>
      </w:r>
    </w:p>
    <w:p>
      <w:pPr>
        <w:pStyle w:val="a0"/>
      </w:pPr>
      <w:r>
        <w:rPr>
          <w:rFonts w:hint="eastAsia"/>
        </w:rPr>
        <w:t xml:space="preserve">例如，计算一个数的斐波那契数列：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通过模板递归，</w:t>
      </w:r>
      <w:r>
        <w:rPr>
          <w:rStyle w:val="VerbatimChar"/>
        </w:rPr>
        <w:t xml:space="preserve">Fibonacci&lt;10&gt;::value</w:t>
      </w:r>
      <w:r>
        <w:rPr>
          <w:rFonts w:hint="eastAsia"/>
        </w:rPr>
        <w:t xml:space="preserve">可以在编译时计算出结果。</w:t>
      </w:r>
    </w:p>
    <w:bookmarkEnd w:id="23"/>
    <w:bookmarkStart w:id="24" w:name="静态断言static_assert"/>
    <w:p>
      <w:pPr>
        <w:pStyle w:val="2"/>
      </w:pPr>
      <w:r>
        <w:t xml:space="preserve">3.2 </w:t>
      </w:r>
      <w:r>
        <w:rPr>
          <w:rFonts w:hint="eastAsia"/>
        </w:rPr>
        <w:t xml:space="preserve">静态断言（</w:t>
      </w:r>
      <w:r>
        <w:rPr>
          <w:rStyle w:val="VerbatimChar"/>
        </w:rPr>
        <w:t xml:space="preserve">static_assert</w:t>
      </w:r>
      <w:r>
        <w:rPr>
          <w:rFonts w:hint="eastAsia"/>
        </w:rPr>
        <w:t xml:space="preserve">）</w:t>
      </w:r>
    </w:p>
    <w:p>
      <w:pPr>
        <w:pStyle w:val="FirstParagraph"/>
      </w:pPr>
      <w:r>
        <w:rPr>
          <w:rFonts w:hint="eastAsia"/>
        </w:rPr>
        <w:t xml:space="preserve">模板元编程也常用于编写静态断言。</w:t>
      </w:r>
      <w:r>
        <w:rPr>
          <w:rStyle w:val="VerbatimChar"/>
        </w:rPr>
        <w:t xml:space="preserve">static_assert</w:t>
      </w:r>
      <w:r>
        <w:rPr>
          <w:rFonts w:hint="eastAsia"/>
        </w:rPr>
        <w:t xml:space="preserve">允许开发者在编译时对某些条件进行检查，以确保程序符合预期。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check_integral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is_integral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 must be an integral type"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类型推导与反射"/>
    <w:p>
      <w:pPr>
        <w:pStyle w:val="2"/>
      </w:pPr>
      <w:r>
        <w:t xml:space="preserve">3.3 </w:t>
      </w:r>
      <w:r>
        <w:rPr>
          <w:rFonts w:hint="eastAsia"/>
        </w:rPr>
        <w:t xml:space="preserve">类型推导与反射</w:t>
      </w:r>
    </w:p>
    <w:p>
      <w:pPr>
        <w:pStyle w:val="FirstParagraph"/>
      </w:pPr>
      <w:r>
        <w:rPr>
          <w:rFonts w:hint="eastAsia"/>
        </w:rPr>
        <w:t xml:space="preserve">模板元编程还可以与C++类型推导和反射机制结合使用，进行更加复杂的类型推断和分析。通过模板类，可以实现对类型的自动识别和处理。</w:t>
      </w:r>
    </w:p>
    <w:bookmarkEnd w:id="25"/>
    <w:bookmarkEnd w:id="26"/>
    <w:bookmarkStart w:id="33" w:name="公式演示"/>
    <w:p>
      <w:pPr>
        <w:pStyle w:val="1"/>
      </w:pPr>
      <w:r>
        <w:t xml:space="preserve">4 </w:t>
      </w:r>
      <w:r>
        <w:rPr>
          <w:rFonts w:hint="eastAsia"/>
        </w:rPr>
        <w:t xml:space="preserve">公式演示</w:t>
      </w:r>
    </w:p>
    <w:p>
      <w:pPr>
        <w:pStyle w:val="FirstParagraph"/>
      </w:pPr>
      <w:r>
        <w:rPr>
          <w:rFonts w:hint="eastAsia"/>
        </w:rPr>
        <w:t xml:space="preserve">在C++模板元编程中，常常需要进行一些数学计算或常量推导，以下是一些常见的公式演示：</w:t>
      </w:r>
    </w:p>
    <w:bookmarkStart w:id="27" w:name="阶乘公式"/>
    <w:p>
      <w:pPr>
        <w:pStyle w:val="2"/>
      </w:pPr>
      <w:r>
        <w:t xml:space="preserve">4.1 </w:t>
      </w:r>
      <w:r>
        <w:rPr>
          <w:rFonts w:hint="eastAsia"/>
        </w:rPr>
        <w:t xml:space="preserve">阶乘公式</w:t>
      </w:r>
    </w:p>
    <w:p>
      <w:pPr>
        <w:pStyle w:val="FirstParagraph"/>
      </w:pPr>
      <w:r>
        <w:rPr>
          <w:rFonts w:hint="eastAsia"/>
        </w:rPr>
        <w:t xml:space="preserve">阶乘是模板元编程中的经典例子。阶乘公式为：</w:t>
      </w:r>
    </w:p>
    <w:p>
      <w:pPr>
        <w:pStyle w:val="FormulaEquationNumbered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t>n</m:t>
          </m:r>
          <m:r>
            <m:rPr>
              <m:sty m:val="p"/>
            </m:rPr>
            <m:t>!</m:t>
          </m:r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!</m:t>
          </m:r>
          <m:r>
            <m:t>  </m:t>
          </m:r>
          <m:r>
            <m:rPr>
              <m:sty m:val="p"/>
            </m:rPr>
            <m:t>(</m:t>
          </m:r>
          <m:r>
            <m:t>4.1</m:t>
          </m:r>
          <m:r>
            <m:rPr>
              <m:sty m:val="p"/>
            </m:rPr>
            <m:t>)</m:t>
          </m:r>
        </m:oMath>
      </m:oMathPara>
      <w:r>
        <w:tab/>
        <w:t>（replace_me）</w:t>
      </w:r>
    </w:p>
    <w:p>
      <w:pPr>
        <w:pStyle w:val="FirstParagraph"/>
      </w:pPr>
      <w:r>
        <w:rPr>
          <w:rFonts w:hint="eastAsia"/>
        </w:rPr>
        <w:t xml:space="preserve">其中，当</w:t>
      </w:r>
      <w:r>
        <w:t xml:space="preserve"> n=0 </w:t>
      </w:r>
      <w:r>
        <w:rPr>
          <w:rFonts w:hint="eastAsia"/>
        </w:rPr>
        <w:t xml:space="preserve">时，0!=1。</w:t>
      </w:r>
    </w:p>
    <w:p>
      <w:pPr>
        <w:pStyle w:val="a0"/>
      </w:pPr>
      <w:r>
        <w:rPr>
          <w:rFonts w:hint="eastAsia"/>
        </w:rPr>
        <w:t xml:space="preserve">在模板元编程中，阶乘的实现方式如下：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bookmarkEnd w:id="27"/>
    <w:bookmarkStart w:id="32" w:name="斐波那契数列"/>
    <w:p>
      <w:pPr>
        <w:pStyle w:val="2"/>
      </w:pPr>
      <w:r>
        <w:t xml:space="preserve">4.2 </w:t>
      </w:r>
      <w:r>
        <w:rPr>
          <w:rFonts w:hint="eastAsia"/>
        </w:rPr>
        <w:t xml:space="preserve">斐波那契数列</w:t>
      </w:r>
    </w:p>
    <w:p>
      <w:pPr>
        <w:pStyle w:val="FirstParagraph"/>
      </w:pPr>
      <w:r>
        <w:rPr>
          <w:rFonts w:hint="eastAsia"/>
        </w:rPr>
        <w:t xml:space="preserve">斐波那契数列的公式见式4.2。</w:t>
      </w:r>
    </w:p>
    <w:p>
      <w:pPr>
        <w:pStyle w:val="FormulaEquationNumbered"/>
      </w:pPr>
      <w:bookmarkStart w:id="28" w:name="eq:fibo"/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F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)</m:t>
          </m:r>
          <m:r>
            <m:t>  </m:t>
          </m:r>
          <m:r>
            <m:rPr>
              <m:sty m:val="p"/>
            </m:rPr>
            <m:t>(</m:t>
          </m:r>
          <m:r>
            <m:t>4.2</m:t>
          </m:r>
          <m:r>
            <m:rPr>
              <m:sty m:val="p"/>
            </m:rPr>
            <m:t>)</m:t>
          </m:r>
        </m:oMath>
      </m:oMathPara>
      <w:bookmarkEnd w:id="28"/>
      <w:r>
        <w:tab/>
        <w:t>（replace_me）</w:t>
      </w:r>
    </w:p>
    <w:p>
      <w:pPr>
        <w:pStyle w:val="FirstParagraph"/>
      </w:pPr>
      <w:r>
        <w:rPr>
          <w:rFonts w:hint="eastAsia"/>
        </w:rPr>
        <w:t xml:space="preserve">其中，F(0)=0，F(1)=1。</w:t>
      </w:r>
    </w:p>
    <w:p>
      <w:pPr>
        <w:pStyle w:val="a0"/>
      </w:pPr>
      <w:r>
        <w:rPr>
          <w:rFonts w:hint="eastAsia"/>
        </w:rPr>
        <w:t xml:space="preserve">在模板元编程中的实现方式如下：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&gt;::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Fibonacci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rPr>
          <w:rFonts w:hint="eastAsia"/>
        </w:rPr>
        <w:t xml:space="preserve">通过这种方式，可以在编译时计算斐波那契数列的值。</w:t>
      </w:r>
    </w:p>
    <w:bookmarkStart w:id="31" w:name="fig:abi_dup"/>
    <w:p>
      <w:pPr>
        <w:pStyle w:val="CaptionedFigure"/>
      </w:pPr>
      <w:r>
        <w:drawing>
          <wp:inline>
            <wp:extent cx="5969000" cy="4476750"/>
            <wp:effectExtent b="0" l="0" r="0" t="0"/>
            <wp:docPr descr="图4.1 意义不明的图片展示" title="" id="29" name="Picture"/>
            <a:graphic>
              <a:graphicData uri="http://schemas.openxmlformats.org/drawingml/2006/picture">
                <pic:pic>
                  <pic:nvPicPr>
                    <pic:cNvPr descr="assets/1280px-Linux_kernel_interfaces.svg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>图4-1</w:t>
      </w:r>
      <w:r>
        <w:t xml:space="preserve"> </w:t>
      </w:r>
      <w:r>
        <w:rPr>
          <w:rFonts w:hint="eastAsia"/>
        </w:rPr>
        <w:t>意义不明的图片展示</w:t>
      </w:r>
    </w:p>
    <w:bookmarkEnd w:id="31"/>
    <w:bookmarkEnd w:id="32"/>
    <w:bookmarkEnd w:id="33"/>
    <w:bookmarkStart w:id="34" w:name="结论"/>
    <w:p>
      <w:pPr>
        <w:pStyle w:val="1"/>
      </w:pPr>
      <w:r>
        <w:t xml:space="preserve">5 </w:t>
      </w:r>
      <w:r>
        <w:rPr>
          <w:rFonts w:hint="eastAsia"/>
        </w:rPr>
        <w:t xml:space="preserve">结论</w:t>
      </w:r>
    </w:p>
    <w:p>
      <w:pPr>
        <w:pStyle w:val="FirstParagraph"/>
      </w:pPr>
      <w:r>
        <w:rPr>
          <w:rFonts w:hint="eastAsia"/>
        </w:rPr>
        <w:t xml:space="preserve">C++模板元编程是一种强大的编程技术，能够在编译时进行高效的计算和类型推导，提升程序的性能和可维护性。通过模板特化、SFINAE、递归模板等技巧，开发者可以实现更加复杂和高效的编程模式。然而，模板元编程的复杂性也意味着它需要较高的学习曲线。掌握它的应用对于编写高效、通用和可扩展的C++代码至关重要。</w:t>
      </w:r>
    </w:p>
    <w:bookmarkEnd w:id="34"/>
    <w:bookmarkStart w:id="37" w:name="参考文献"/>
    <w:p>
      <w:pPr>
        <w:pStyle w:val="1"/>
      </w:pPr>
      <w:r>
        <w:rPr>
          <w:rFonts w:hint="eastAsia"/>
        </w:rPr>
        <w:t xml:space="preserve">参考文献</w:t>
      </w:r>
    </w:p>
    <w:bookmarkStart w:id="36" w:name="refs"/>
    <w:bookmarkStart w:id="35" w:name="ref-vfs"/>
    <w:p>
      <w:pPr>
        <w:pStyle w:val="a9"/>
      </w:pPr>
      <w:r>
        <w:t xml:space="preserve">[1] Rodriguez R, Koehler M, Hyde R. The generic file system[C]//USENIX conference proceedings. 1986: 260-269.</w:t>
      </w:r>
    </w:p>
    <w:bookmarkEnd w:id="35"/>
    <w:bookmarkEnd w:id="36"/>
    <w:bookmarkEnd w:id="37"/>
    <w:bookmarkStart w:id="38" w:name="致谢"/>
    <w:p>
      <w:pPr>
        <w:pStyle w:val="1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我能学会vfs</w:t>
      </w:r>
      <w:hyperlink w:anchor="ref-vfs">
        <w:r>
          <w:rPr>
            <w:rStyle w:val="ae"/>
            <w:vertAlign w:val="superscript"/>
          </w:rPr>
          <w:t xml:space="preserve">[1]</w:t>
        </w:r>
      </w:hyperlink>
      <w:r>
        <w:rPr>
          <w:rFonts w:hint="eastAsia"/>
        </w:rPr>
        <w:t xml:space="preserve">吗？</w:t>
      </w:r>
    </w:p>
    <w:bookmarkEnd w:id="38"/>
    <w:sectPr w:rsidR="002C5A57">
      <w:footerReference w:type="default" r:id="rId11"/>
      <w:headerReference w:type="default" r:id="rId14"/>
      <w:footnotePr>
        <w:numRestart w:val="eachSect"/>
      </w:footnotePr>
      <w:pgSz w:h="15840" w:w="12240"/>
      <w:pgMar w:bottom="1418" w:footer="1134" w:gutter="0" w:header="1134" w:left="1418" w:right="1418" w:top="1588"/>
      <w:cols w:space="425"/>
      <w:docGrid w:linePitch="312" w:type="lines"/>
      <w:pgNumType w:fmt="decimal"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af2"/>
      <w:jc w:val="center"/>
    </w:pPr>
    <w:r>
      <w:fldSimple w:instr=" PAGE \* MERGEFORMAT "/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af2"/>
      <w:jc w:val="center"/>
    </w:pPr>
    <w:r>
      <w:fldSimple w:instr=" PAGE \* MERGEFORMAT "/>
    </w: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af0"/>
    </w:pPr>
    <w:r>
      <w:t xml:space="preserve">面向 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af0"/>
    </w:pPr>
    <w:r>
      <w:t xml:space="preserve">面向 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af0"/>
    </w:pPr>
    <w:r>
      <w:t xml:space="preserve">面向 </w:t>
      <w:fldChar w:fldCharType="begin"/>
      <w:instrText xml:space="preserve">PAGE \* MERGEFORMAT</w:instrText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45CA9A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319385643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65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A57"/>
    <w:rsid w:val="000A6AC5"/>
    <w:rsid w:val="00143637"/>
    <w:rsid w:val="002C5A57"/>
    <w:rsid w:val="0059673C"/>
    <w:rsid w:val="005E26F2"/>
    <w:rsid w:val="006F7E48"/>
    <w:rsid w:val="007A657E"/>
    <w:rsid w:val="009167A0"/>
    <w:rsid w:val="009475D0"/>
    <w:rsid w:val="00964251"/>
    <w:rsid w:val="009B6C41"/>
    <w:rsid w:val="00B44029"/>
    <w:rsid w:val="00D27603"/>
    <w:rsid w:val="00DE7F4A"/>
    <w:rsid w:val="00DF40CF"/>
    <w:rsid w:val="00FF448C"/>
    <w:rsid w:val="00FF4FE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宋体" w:hAnsi="Times New Roman"/>
        <w:lang w:bidi="ar-SA" w:eastAsia="zh-CN" w:val="en-US"/>
        <w:sz w:val="24"/>
        <w:szCs w:val="24"/>
      </w:rPr>
    </w:rPrDefault>
    <w:pPrDefault>
      <w:pPr>
      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pPr>
      <w:widowControl w:val="0"/>
      <w:spacing w:line="300" w:lineRule="auto"/>
      <w:ind w:firstLine="200" w:firstLineChars="200"/>
      <w:jc w:val="both"/>
    </w:pPr>
    <w:rPr>
      <w:kern w:val="2"/>
      <w:sz w:val="24"/>
    </w:rPr>
  </w:style>
  <w:style w:styleId="1" w:type="paragraph">
    <w:name w:val="heading 1"/>
    <w:basedOn w:val="a"/>
    <w:link w:val="10"/>
    <w:uiPriority w:val="9"/>
    <w:rsid w:val="00DE7F4A"/>
    <w:pPr>
      <w:pageBreakBefore/>
      <w:snapToGrid w:val="0"/>
      <w:spacing w:after="240" w:before="240"/>
      <w:ind w:firstLine="0" w:firstLineChars="0"/>
      <w:jc w:val="center"/>
      <w:outlineLvl w:val="0"/>
    </w:pPr>
    <w:rPr>
      <w:rFonts w:ascii="Times New Roman" w:eastAsia="黑体" w:hAnsi="Times New Roman"/>
      <w:color w:themeColor="text1" w:val="000000"/>
      <w:sz w:val="36"/>
      <w:szCs w:val="36"/>
    </w:rPr>
  </w:style>
  <w:style w:styleId="2" w:type="paragraph">
    <w:name w:val="heading 2"/>
    <w:basedOn w:val="a"/>
    <w:next w:val="a0"/>
    <w:link w:val="20"/>
    <w:uiPriority w:val="9"/>
    <w:semiHidden/>
    <w:unhideWhenUsed/>
    <w:rsid w:val="00D27603"/>
    <w:pPr>
      <w:snapToGrid w:val="0"/>
      <w:spacing w:after="0" w:before="240"/>
      <w:ind w:firstLine="0" w:firstLineChars="0"/>
      <w:jc w:val="left"/>
      <w:outlineLvl w:val="1"/>
    </w:pPr>
    <w:rPr>
      <w:rFonts w:ascii="Times New Roman" w:eastAsia="黑体" w:hAnsi="Times New Roman"/>
      <w:color w:themeColor="text1" w:val="000000"/>
      <w:sz w:val="28"/>
    </w:rPr>
  </w:style>
  <w:style w:styleId="3" w:type="paragraph">
    <w:name w:val="heading 3"/>
    <w:basedOn w:val="a"/>
    <w:next w:val="a0"/>
    <w:link w:val="30"/>
    <w:uiPriority w:val="9"/>
    <w:semiHidden/>
    <w:unhideWhenUsed/>
    <w:rsid w:val="00D27603"/>
    <w:pPr>
      <w:snapToGrid w:val="0"/>
      <w:spacing w:after="0" w:before="240"/>
      <w:ind w:firstLine="0" w:firstLineChars="0"/>
      <w:jc w:val="left"/>
      <w:outlineLvl w:val="2"/>
    </w:pPr>
    <w:rPr>
      <w:rFonts w:ascii="Times New Roman" w:eastAsia="黑体" w:hAnsi="Times New Roman"/>
      <w:color w:themeColor="text1" w:val="000000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rsid w:val="009B6C41"/>
    <w:pPr>
      <w:widowControl w:val="0"/>
      <w:spacing w:after="0" w:line="300" w:lineRule="auto"/>
      <w:ind w:firstLine="200" w:firstLineChars="200"/>
      <w:jc w:val="both"/>
    </w:pPr>
    <w:rPr>
      <w:rFonts w:ascii="Times New Roman" w:eastAsia="宋体" w:hAnsi="Times New Roman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napToGrid w:val="0"/>
      <w:ind w:firstLine="480"/>
      <w:jc w:val="center"/>
    </w:pPr>
    <w:rPr>
      <w:sz w:val="21"/>
      <w:szCs w:val="21"/>
    </w:rPr>
  </w:style>
  <w:style w:styleId="a4" w:type="paragraph">
    <w:name w:val="Title"/>
    <w:basedOn w:val="a"/>
    <w:next w:val="a0"/>
    <w:link w:val="a5"/>
    <w:uiPriority w:val="10"/>
    <w:qFormat/>
    <w:rsid w:val="007A657E"/>
    <w:pPr>
      <w:widowControl w:val="0"/>
      <w:spacing w:after="0" w:before="240" w:line="300" w:lineRule="auto"/>
      <w:jc w:val="center"/>
      <w:outlineLvl w:val="0"/>
    </w:pPr>
    <w:rPr>
      <w:rFonts w:ascii="Times New Roman" w:cstheme="majorBidi" w:eastAsia="黑体" w:hAnsi="Times New Roman"/>
      <w:b/>
      <w:kern w:val="2"/>
      <w:sz w:val="36"/>
      <w:szCs w:val="56"/>
    </w:rPr>
  </w:style>
  <w:style w:customStyle="1" w:styleId="a5" w:type="character">
    <w:name w:val="标题 字符"/>
    <w:basedOn w:val="a1"/>
    <w:link w:val="a4"/>
    <w:uiPriority w:val="10"/>
    <w:rsid w:val="007A657E"/>
    <w:rPr>
      <w:rFonts w:ascii="Times New Roman" w:cstheme="majorBidi" w:eastAsia="黑体" w:hAnsi="Times New Roman"/>
      <w:b/>
      <w:kern w:val="2"/>
      <w:sz w:val="36"/>
      <w:szCs w:val="56"/>
    </w:rPr>
  </w:style>
  <w:style w:styleId="a6" w:type="paragraph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7A657E"/>
    <w:pPr>
      <w:keepNext/>
      <w:keepLines/>
      <w:spacing w:after="240"/>
      <w:jc w:val="center"/>
    </w:pPr>
    <w:rPr>
      <w:rFonts w:ascii="Times New Roman" w:eastAsia="黑体" w:hAnsi="Times New Roman"/>
      <w:sz w:val="28"/>
    </w:rPr>
  </w:style>
  <w:style w:styleId="a8" w:type="paragraph">
    <w:name w:val="Date"/>
    <w:next w:val="a0"/>
    <w:qFormat/>
    <w:pPr>
      <w:keepNext/>
      <w:keepLines/>
      <w:jc w:val="center"/>
    </w:p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a"/>
    <w:next w:val="a0"/>
    <w:qFormat/>
    <w:pPr>
      <w:snapToGrid w:val="0"/>
      <w:spacing w:after="0" w:before="240"/>
      <w:ind w:firstLine="0" w:firstLineChars="0"/>
      <w:jc w:val="left"/>
    </w:pPr>
    <w:rPr>
      <w:rFonts w:ascii="Times New Roman" w:eastAsia="黑体" w:hAnsi="Times New Roman"/>
    </w:rPr>
  </w:style>
  <w:style w:styleId="a9" w:type="paragraph">
    <w:name w:val="Bibliography"/>
    <w:basedOn w:val="a"/>
    <w:qFormat/>
    <w:pPr>
      <w:spacing w:after="0"/>
      <w:wordWrap w:val="0"/>
      <w:snapToGrid w:va="480"/>
      <w:ind w:firstLine="0"/>
      <w:widowControl/>
      <w:rPr>
        <w:kern w:val="0"/>
        <w:sz w:val="24"/>
        <w:szCs w:val="24"/>
      </w:rPr>
    </w:pPr>
  </w:style>
  <w:style w:styleId="aa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B6C41"/>
    <w:pPr>
      <w:snapToGrid w:val="0"/>
      <w:ind w:firstLine="480"/>
      <w:jc w:val="center"/>
      <w:spacing w:after="0" w:before="0"/>
    </w:pPr>
    <w:rPr>
      <w:rFonts w:ascii="Times New Roman" w:eastAsia="宋体" w:hAnsi="Times New Roman"/>
      <w:b/>
      <w:i w:val="0"/>
      <w:sz w:val="21"/>
      <w:szCs w:val="21"/>
    </w:rPr>
  </w:style>
  <w:style w:customStyle="1" w:styleId="ImageCaption" w:type="paragraph">
    <w:name w:val="Image Caption"/>
    <w:basedOn w:val="ac"/>
    <w:rsid w:val="009B6C41"/>
    <w:pPr>
      <w:snapToGrid w:val="0"/>
      <w:ind w:firstLine="480"/>
      <w:jc w:val="center"/>
      <w:spacing w:after="0" w:before="0"/>
    </w:pPr>
    <w:rPr>
      <w:rFonts w:ascii="Times New Roman" w:eastAsia="宋体" w:hAnsi="Times New Roman"/>
      <w:b/>
      <w:i w:val="0"/>
      <w:sz w:val="21"/>
      <w:szCs w:val="21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  <w:ind w:firstLine="0" w:firstLineChars="0"/>
      <w:jc w:val="center"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sid w:val="00D27603"/>
    <w:rPr>
      <w:rFonts w:ascii="Times New Roman" w:hAnsi="Times New Roman"/>
      <w:sz w:val="21"/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"/>
    <w:next w:val="a"/>
    <w:uiPriority w:val="39"/>
    <w:unhideWhenUsed/>
    <w:qFormat/>
    <w:pPr>
      <w:widowControl/>
      <w:spacing w:after="240" w:before="240" w:line="300" w:lineRule="auto"/>
      <w:ind w:firstLine="0" w:firstLineChars="0"/>
      <w:jc w:val="center"/>
      <w:outlineLvl w:val="9"/>
    </w:pPr>
    <w:rPr>
      <w:rFonts w:ascii="Times New Roman" w:eastAsia="黑体" w:hAnsi="Times New Roman"/>
      <w:color w:val="auto"/>
      <w:sz w:val="36"/>
      <w:szCs w:val="36"/>
      <w:b w:val="0"/>
      <w:bCs w:val="0"/>
      <w:kern w:val="0"/>
    </w:rPr>
  </w:style>
  <w:style w:styleId="af0" w:type="paragraph">
    <w:name w:val="header"/>
    <w:basedOn w:val="a"/>
    <w:link w:val="af1"/>
    <w:rsid w:val="009B6C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left"/>
    </w:pPr>
    <w:rPr>
      <w:sz w:val="21"/>
      <w:szCs w:val="21"/>
    </w:rPr>
  </w:style>
  <w:style w:customStyle="1" w:styleId="af1" w:type="character">
    <w:name w:val="页眉 字符"/>
    <w:basedOn w:val="a1"/>
    <w:link w:val="af0"/>
    <w:rsid w:val="009B6C41"/>
    <w:rPr>
      <w:sz w:val="18"/>
      <w:szCs w:val="18"/>
    </w:rPr>
  </w:style>
  <w:style w:styleId="af2" w:type="paragraph">
    <w:name w:val="footer"/>
    <w:basedOn w:val="a"/>
    <w:link w:val="af3"/>
    <w:rsid w:val="009B6C41"/>
    <w:pPr>
      <w:tabs>
        <w:tab w:pos="4153" w:val="center"/>
        <w:tab w:pos="8306" w:val="right"/>
      </w:tabs>
      <w:snapToGrid w:val="0"/>
    </w:pPr>
    <w:rPr>
      <w:sz w:val="21"/>
      <w:szCs w:val="21"/>
    </w:rPr>
  </w:style>
  <w:style w:customStyle="1" w:styleId="af3" w:type="character">
    <w:name w:val="页脚 字符"/>
    <w:basedOn w:val="a1"/>
    <w:link w:val="af2"/>
    <w:rsid w:val="009B6C41"/>
    <w:rPr>
      <w:sz w:val="18"/>
      <w:szCs w:val="18"/>
    </w:rPr>
  </w:style>
  <w:style w:styleId="FormulaEquationNumbered" w:type="paragraph">
    <w:name w:val="Formula Equation Numbered"/>
    <w:basedOn w:val="a0"/>
    <w:next w:val="Normal"/>
    <w:locked w:val="false"/>
    <w:qFormat/>
    <w:pPr>
      <w:tabs>
        <w:tab w:pos="9600" w:val="right"/>
      </w:tabs>
    </w:pPr>
    <w:rPr>
      <w:sz w:val="21"/>
      <w:szCs w:val="21"/>
    </w:rPr>
  </w:style>
  <w:style w:styleId="22" w:type="paragraph">
    <w:name w:val="TOC 2"/>
    <w:basedOn w:val="a"/>
    <w:next w:val="a"/>
    <w:autoRedefine/>
    <w:uiPriority w:val="39"/>
    <w:unhideWhenUsed/>
    <w:rsid w:val="00306AD0"/>
    <w:pPr>
      <w:widowControl/>
      <w:tabs>
        <w:tab w:leader="dot" w:pos="9060" w:val="right"/>
      </w:tabs>
      <w:spacing w:after="100" w:line="259" w:lineRule="auto"/>
      <w:ind w:firstLine="0" w:firstLineChars="0" w:left="220"/>
      <w:jc w:val="left"/>
    </w:pPr>
    <w:rPr>
      <w:rFonts w:ascii="Times New Roman" w:eastAsia="黑体" w:hAnsi="Times New Roman"/>
      <w:noProof/>
      <w:kern w:val="0"/>
      <w:szCs w:val="24"/>
    </w:rPr>
  </w:style>
  <w:style w:styleId="11" w:type="paragraph">
    <w:name w:val="TOC 1"/>
    <w:basedOn w:val="a"/>
    <w:next w:val="a"/>
    <w:autoRedefine/>
    <w:uiPriority w:val="39"/>
    <w:unhideWhenUsed/>
    <w:rsid w:val="00537800"/>
    <w:pPr>
      <w:widowControl/>
      <w:tabs>
        <w:tab w:leader="dot" w:pos="9060" w:val="right"/>
      </w:tabs>
      <w:spacing w:after="100" w:line="259" w:lineRule="auto"/>
      <w:ind w:firstLine="0" w:firstLineChars="0"/>
      <w:jc w:val="left"/>
    </w:pPr>
    <w:rPr>
      <w:rFonts w:ascii="Times New Roman" w:eastAsia="黑体" w:hAnsi="Times New Roman"/>
      <w:noProof/>
      <w:kern w:val="0"/>
      <w:sz w:val="28"/>
      <w:szCs w:val="28"/>
    </w:rPr>
  </w:style>
  <w:style w:styleId="33" w:type="paragraph">
    <w:name w:val="TOC 3"/>
    <w:basedOn w:val="a"/>
    <w:next w:val="a"/>
    <w:autoRedefine/>
    <w:uiPriority w:val="39"/>
    <w:unhideWhenUsed/>
    <w:rsid w:val="00537800"/>
    <w:pPr>
      <w:widowControl/>
      <w:tabs>
        <w:tab w:leader="dot" w:pos="9060" w:val="right"/>
      </w:tabs>
      <w:spacing w:after="100" w:line="259" w:lineRule="auto"/>
      <w:ind w:firstLine="0" w:firstLineChars="0" w:left="440"/>
      <w:jc w:val="left"/>
    </w:pPr>
    <w:rPr>
      <w:rFonts w:ascii="Times New Roman" w:eastAsia="黑体" w:hAnsi="Times New Roman"/>
      <w:noProof/>
      <w:kern w:val="0"/>
      <w:sz w:val="21"/>
      <w:szCs w:val="2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17" Type="http://schemas.openxmlformats.org/officeDocument/2006/relationships/image" Target="media/rId1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2025-05-18T15:26:04Z</dcterms:created>
  <dcterms:modified xsi:type="dcterms:W3CDTF">2025-05-18T15:26:04Z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cppref.bib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.\GB-T-7714—2015（顺序编码，双语，姓名不大写，无URL、DOI，引注有页码）.csl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>式</vt:lpwstr>
  </property>
  <property fmtid="{D5CDD505-2E9C-101B-9397-08002B2CF9AE}" pid="23" name="eqnPrefixTemplate">
    <vt:lpwstr>pi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>图</vt:lpwstr>
  </property>
  <property fmtid="{D5CDD505-2E9C-101B-9397-08002B2CF9AE}" pid="27" name="figPrefixTemplate">
    <vt:lpwstr>pi</vt:lpwstr>
  </property>
  <property fmtid="{D5CDD505-2E9C-101B-9397-08002B2CF9AE}" pid="28" name="figureTemplate">
    <vt:lpwstr>figureTitleititleDelim t</vt:lpwstr>
  </property>
  <property fmtid="{D5CDD505-2E9C-101B-9397-08002B2CF9AE}" pid="29" name="figureTitle">
    <vt:lpwstr>图</vt:lpwstr>
  </property>
  <property fmtid="{D5CDD505-2E9C-101B-9397-08002B2CF9AE}" pid="30" name="lastDelim">
    <vt:lpwstr>, </vt:lpwstr>
  </property>
  <property fmtid="{D5CDD505-2E9C-101B-9397-08002B2CF9AE}" pid="31" name="link-citations">
    <vt:lpwstr>True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cale">
    <vt:lpwstr>en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True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3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tableTitleititleDelim t</vt:lpwstr>
  </property>
  <property fmtid="{D5CDD505-2E9C-101B-9397-08002B2CF9AE}" pid="69" name="tableTitle">
    <vt:lpwstr>表</vt:lpwstr>
  </property>
  <property fmtid="{D5CDD505-2E9C-101B-9397-08002B2CF9AE}" pid="70" name="tblLabels">
    <vt:lpwstr>arabic</vt:lpwstr>
  </property>
  <property fmtid="{D5CDD505-2E9C-101B-9397-08002B2CF9AE}" pid="71" name="tblPrefix">
    <vt:lpwstr>表</vt:lpwstr>
  </property>
  <property fmtid="{D5CDD505-2E9C-101B-9397-08002B2CF9AE}" pid="72" name="tblPrefixTemplate">
    <vt:lpwstr>pi</vt:lpwstr>
  </property>
  <property fmtid="{D5CDD505-2E9C-101B-9397-08002B2CF9AE}" pid="73" name="titleDelim">
    <vt:lpwstr/>
  </property>
</Properties>
</file>