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Swipe Savvy Mobile Wallet</w:t>
        <w:br/>
        <w:t>Alignment &amp; Responsiveness Spec (v3)</w:t>
      </w:r>
    </w:p>
    <w:p>
      <w:r>
        <w:rPr>
          <w:sz w:val="22"/>
        </w:rPr>
        <w:t>Date: 2025-12-21</w:t>
        <w:br/>
        <w:t>Audience: Product, Design, and Engineering</w:t>
      </w:r>
    </w:p>
    <w:p/>
    <w:p>
      <w:r>
        <w:rPr>
          <w:b/>
          <w:sz w:val="32"/>
        </w:rPr>
        <w:t>1. Goals</w:t>
      </w:r>
    </w:p>
    <w:p>
      <w:pPr>
        <w:spacing w:after="120"/>
      </w:pPr>
      <w:r>
        <w:t>Modernize the UI with strict alignment and responsive behaviors so the wallet feels premium, calm, and trustworthy across compact, standard, and large phones.</w:t>
      </w:r>
    </w:p>
    <w:p>
      <w:pPr>
        <w:pStyle w:val="ListBullet"/>
        <w:spacing w:after="40"/>
      </w:pPr>
      <w:r>
        <w:t>Remove “wobble”: consistent left edges, consistent padding, consistent component heights.</w:t>
      </w:r>
    </w:p>
    <w:p>
      <w:pPr>
        <w:pStyle w:val="ListBullet"/>
        <w:spacing w:after="40"/>
      </w:pPr>
      <w:r>
        <w:t>Support Millennials + Gen Z (speed, modern aesthetics) and Gen X (clarity, legibility).</w:t>
      </w:r>
    </w:p>
    <w:p>
      <w:pPr>
        <w:pStyle w:val="ListBullet"/>
        <w:spacing w:after="40"/>
      </w:pPr>
      <w:r>
        <w:t>Ensure the layout works with safe areas, notches, keyboards, and Dynamic Type.</w:t>
      </w:r>
    </w:p>
    <w:p>
      <w:pPr>
        <w:pStyle w:val="ListBullet"/>
        <w:spacing w:after="40"/>
      </w:pPr>
      <w:r>
        <w:t>Dark mode is a theme swap only (layout stays identical).</w:t>
      </w:r>
    </w:p>
    <w:p>
      <w:r>
        <w:rPr>
          <w:b/>
          <w:sz w:val="32"/>
        </w:rPr>
        <w:t>2. Alignment system (grid + baseline)</w:t>
      </w:r>
    </w:p>
    <w:p>
      <w:r>
        <w:rPr>
          <w:b/>
          <w:sz w:val="26"/>
        </w:rPr>
        <w:t>2.1 Phone grid</w:t>
      </w:r>
    </w:p>
    <w:p>
      <w:pPr>
        <w:pStyle w:val="ListBullet"/>
        <w:spacing w:after="40"/>
      </w:pPr>
      <w:r>
        <w:t>4-column grid for phone screens.</w:t>
      </w:r>
    </w:p>
    <w:p>
      <w:pPr>
        <w:pStyle w:val="ListBullet"/>
        <w:spacing w:after="40"/>
      </w:pPr>
      <w:r>
        <w:t>Outer margin: 16dp (compact/standard), 20dp (large).</w:t>
      </w:r>
    </w:p>
    <w:p>
      <w:pPr>
        <w:pStyle w:val="ListBullet"/>
        <w:spacing w:after="40"/>
      </w:pPr>
      <w:r>
        <w:t>Gutter: 12dp.</w:t>
      </w:r>
    </w:p>
    <w:p>
      <w:pPr>
        <w:pStyle w:val="ListBullet"/>
        <w:spacing w:after="40"/>
      </w:pPr>
      <w:r>
        <w:t>Baseline grid: 4dp vertical rhythm (spacing and typography line-heights should snap to 4dp increments).</w:t>
      </w:r>
    </w:p>
    <w:p>
      <w:r>
        <w:rPr>
          <w:b/>
          <w:sz w:val="26"/>
        </w:rPr>
        <w:t>2.2 Spacing tokens (use tokens only)</w:t>
      </w:r>
    </w:p>
    <w:p>
      <w:pPr>
        <w:spacing w:after="120"/>
      </w:pPr>
      <w:r>
        <w:t>Using a tight spacing scale prevents one-off padding values that cause misalignment over time.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Token</w:t>
            </w:r>
          </w:p>
        </w:tc>
        <w:tc>
          <w:tcPr>
            <w:tcW w:type="dxa" w:w="2880"/>
          </w:tcPr>
          <w:p>
            <w:r>
              <w:t>dp</w:t>
            </w:r>
          </w:p>
        </w:tc>
        <w:tc>
          <w:tcPr>
            <w:tcW w:type="dxa" w:w="2880"/>
          </w:tcPr>
          <w:p>
            <w:r>
              <w:t>Typical usage</w:t>
            </w:r>
          </w:p>
        </w:tc>
      </w:tr>
      <w:tr>
        <w:tc>
          <w:tcPr>
            <w:tcW w:type="dxa" w:w="2880"/>
          </w:tcPr>
          <w:p>
            <w:r>
              <w:t>S-1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icon-to-text gaps, micro spacing</w:t>
            </w:r>
          </w:p>
        </w:tc>
      </w:tr>
      <w:tr>
        <w:tc>
          <w:tcPr>
            <w:tcW w:type="dxa" w:w="2880"/>
          </w:tcPr>
          <w:p>
            <w:r>
              <w:t>S-2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tight padding, list row internal spacing</w:t>
            </w:r>
          </w:p>
        </w:tc>
      </w:tr>
      <w:tr>
        <w:tc>
          <w:tcPr>
            <w:tcW w:type="dxa" w:w="2880"/>
          </w:tcPr>
          <w:p>
            <w:r>
              <w:t>S-3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card internal gaps, between form fields</w:t>
            </w:r>
          </w:p>
        </w:tc>
      </w:tr>
      <w:tr>
        <w:tc>
          <w:tcPr>
            <w:tcW w:type="dxa" w:w="2880"/>
          </w:tcPr>
          <w:p>
            <w:r>
              <w:t>S-4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default card padding, screen margins</w:t>
            </w:r>
          </w:p>
        </w:tc>
      </w:tr>
      <w:tr>
        <w:tc>
          <w:tcPr>
            <w:tcW w:type="dxa" w:w="2880"/>
          </w:tcPr>
          <w:p>
            <w:r>
              <w:t>S-6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between sections on a screen</w:t>
            </w:r>
          </w:p>
        </w:tc>
      </w:tr>
      <w:tr>
        <w:tc>
          <w:tcPr>
            <w:tcW w:type="dxa" w:w="2880"/>
          </w:tcPr>
          <w:p>
            <w:r>
              <w:t>S-7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section headers to content, major spacing</w:t>
            </w:r>
          </w:p>
        </w:tc>
      </w:tr>
    </w:tbl>
    <w:p/>
    <w:p>
      <w:r>
        <w:rPr>
          <w:b/>
          <w:sz w:val="32"/>
        </w:rPr>
        <w:t>3. Component alignment rules</w:t>
      </w:r>
    </w:p>
    <w:p>
      <w:r>
        <w:rPr>
          <w:b/>
          <w:sz w:val="26"/>
        </w:rPr>
        <w:t>3.1 App bar / screen header</w:t>
      </w:r>
    </w:p>
    <w:p>
      <w:pPr>
        <w:pStyle w:val="ListBullet"/>
        <w:spacing w:after="40"/>
      </w:pPr>
      <w:r>
        <w:t>Title baseline aligns across screens.</w:t>
      </w:r>
    </w:p>
    <w:p>
      <w:pPr>
        <w:pStyle w:val="ListBullet"/>
        <w:spacing w:after="40"/>
      </w:pPr>
      <w:r>
        <w:t>Right-side action (avatar / bell) aligns to the same right margin as content.</w:t>
      </w:r>
    </w:p>
    <w:p>
      <w:pPr>
        <w:pStyle w:val="ListBullet"/>
        <w:spacing w:after="40"/>
      </w:pPr>
      <w:r>
        <w:t>Keep title left edge aligned with cards and lists.</w:t>
      </w:r>
    </w:p>
    <w:p>
      <w:r>
        <w:rPr>
          <w:b/>
          <w:sz w:val="26"/>
        </w:rPr>
        <w:t>3.2 Cards</w:t>
      </w:r>
    </w:p>
    <w:p>
      <w:pPr>
        <w:pStyle w:val="ListBullet"/>
        <w:spacing w:after="40"/>
      </w:pPr>
      <w:r>
        <w:t>All cards share the same corner radius and padding.</w:t>
      </w:r>
    </w:p>
    <w:p>
      <w:pPr>
        <w:pStyle w:val="ListBullet"/>
        <w:spacing w:after="40"/>
      </w:pPr>
      <w:r>
        <w:t>Card titles align to the same left inset.</w:t>
      </w:r>
    </w:p>
    <w:p>
      <w:pPr>
        <w:pStyle w:val="ListBullet"/>
        <w:spacing w:after="40"/>
      </w:pPr>
      <w:r>
        <w:t>Two-up cards: same height in a row; stack vertically on compact widths if needed.</w:t>
      </w:r>
    </w:p>
    <w:p>
      <w:r>
        <w:rPr>
          <w:b/>
          <w:sz w:val="26"/>
        </w:rPr>
        <w:t>3.3 Lists and rows</w:t>
      </w:r>
    </w:p>
    <w:p>
      <w:pPr>
        <w:pStyle w:val="ListBullet"/>
        <w:spacing w:after="40"/>
      </w:pPr>
      <w:r>
        <w:t>Minimum row height: 56dp.</w:t>
      </w:r>
    </w:p>
    <w:p>
      <w:pPr>
        <w:pStyle w:val="ListBullet"/>
        <w:spacing w:after="40"/>
      </w:pPr>
      <w:r>
        <w:t>Leading icons are 24dp centered vertically in the row.</w:t>
      </w:r>
    </w:p>
    <w:p>
      <w:pPr>
        <w:pStyle w:val="ListBullet"/>
        <w:spacing w:after="40"/>
      </w:pPr>
      <w:r>
        <w:t>Amounts and statuses align to the right edge; never truncate money amounts.</w:t>
      </w:r>
    </w:p>
    <w:p>
      <w:r>
        <w:rPr>
          <w:b/>
          <w:sz w:val="26"/>
        </w:rPr>
        <w:t>3.4 Forms (Pay / Transfer)</w:t>
      </w:r>
    </w:p>
    <w:p>
      <w:pPr>
        <w:pStyle w:val="ListBullet"/>
        <w:spacing w:after="40"/>
      </w:pPr>
      <w:r>
        <w:t>Field labels align to the left inset; fields span full available width.</w:t>
      </w:r>
    </w:p>
    <w:p>
      <w:pPr>
        <w:pStyle w:val="ListBullet"/>
        <w:spacing w:after="40"/>
      </w:pPr>
      <w:r>
        <w:t>Consistent label-to-field gap (6dp).</w:t>
      </w:r>
    </w:p>
    <w:p>
      <w:pPr>
        <w:pStyle w:val="ListBullet"/>
        <w:spacing w:after="40"/>
      </w:pPr>
      <w:r>
        <w:t>Primary CTA is sticky above bottom navigation and above the keyboard (use safe area insets).</w:t>
      </w:r>
    </w:p>
    <w:p>
      <w:r>
        <w:rPr>
          <w:b/>
          <w:sz w:val="26"/>
        </w:rPr>
        <w:t>3.5 Bottom navigation</w:t>
      </w:r>
    </w:p>
    <w:p>
      <w:pPr>
        <w:pStyle w:val="ListBullet"/>
        <w:spacing w:after="40"/>
      </w:pPr>
      <w:r>
        <w:t>Height: 80–88dp; icon size: 24dp; tap targets: 44×44dp minimum.</w:t>
      </w:r>
    </w:p>
    <w:p>
      <w:pPr>
        <w:pStyle w:val="ListBullet"/>
        <w:spacing w:after="40"/>
      </w:pPr>
      <w:r>
        <w:t>Inactive icons use translucency (light: ~45% opacity; dark: ~55%).</w:t>
      </w:r>
    </w:p>
    <w:p>
      <w:pPr>
        <w:pStyle w:val="ListBullet"/>
        <w:spacing w:after="40"/>
      </w:pPr>
      <w:r>
        <w:t>Labels remain visible for clarity and accessibility; active tab uses a subtle bubble highlight + dot indicator.</w:t>
      </w:r>
    </w:p>
    <w:p>
      <w:r>
        <w:rPr>
          <w:b/>
          <w:sz w:val="32"/>
        </w:rPr>
        <w:t>4. Responsiveness</w:t>
      </w:r>
    </w:p>
    <w:p>
      <w:r>
        <w:rPr>
          <w:b/>
          <w:sz w:val="26"/>
        </w:rPr>
        <w:t>4.1 Breakpoints (dp)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Width</w:t>
            </w:r>
          </w:p>
        </w:tc>
        <w:tc>
          <w:tcPr>
            <w:tcW w:type="dxa" w:w="2880"/>
          </w:tcPr>
          <w:p>
            <w:r>
              <w:t>Key behaviors</w:t>
            </w:r>
          </w:p>
        </w:tc>
      </w:tr>
      <w:tr>
        <w:tc>
          <w:tcPr>
            <w:tcW w:type="dxa" w:w="2880"/>
          </w:tcPr>
          <w:p>
            <w:r>
              <w:t>Compact</w:t>
            </w:r>
          </w:p>
        </w:tc>
        <w:tc>
          <w:tcPr>
            <w:tcW w:type="dxa" w:w="2880"/>
          </w:tcPr>
          <w:p>
            <w:r>
              <w:t>≤ 360dp</w:t>
            </w:r>
          </w:p>
        </w:tc>
        <w:tc>
          <w:tcPr>
            <w:tcW w:type="dxa" w:w="2880"/>
          </w:tcPr>
          <w:p>
            <w:r>
              <w:t>2×2 quick actions; stack stat cards when needed; reduced whitespace</w:t>
            </w:r>
          </w:p>
        </w:tc>
      </w:tr>
      <w:tr>
        <w:tc>
          <w:tcPr>
            <w:tcW w:type="dxa" w:w="2880"/>
          </w:tcPr>
          <w:p>
            <w:r>
              <w:t>Standard</w:t>
            </w:r>
          </w:p>
        </w:tc>
        <w:tc>
          <w:tcPr>
            <w:tcW w:type="dxa" w:w="2880"/>
          </w:tcPr>
          <w:p>
            <w:r>
              <w:t>361–414dp</w:t>
            </w:r>
          </w:p>
        </w:tc>
        <w:tc>
          <w:tcPr>
            <w:tcW w:type="dxa" w:w="2880"/>
          </w:tcPr>
          <w:p>
            <w:r>
              <w:t>4 quick actions in a row; two-up stats; default paddings</w:t>
            </w:r>
          </w:p>
        </w:tc>
      </w:tr>
      <w:tr>
        <w:tc>
          <w:tcPr>
            <w:tcW w:type="dxa" w:w="2880"/>
          </w:tcPr>
          <w:p>
            <w:r>
              <w:t>Large</w:t>
            </w:r>
          </w:p>
        </w:tc>
        <w:tc>
          <w:tcPr>
            <w:tcW w:type="dxa" w:w="2880"/>
          </w:tcPr>
          <w:p>
            <w:r>
              <w:t>≥ 415dp</w:t>
            </w:r>
          </w:p>
        </w:tc>
        <w:tc>
          <w:tcPr>
            <w:tcW w:type="dxa" w:w="2880"/>
          </w:tcPr>
          <w:p>
            <w:r>
              <w:t>increase side padding slightly; cap max content width; more breathing room</w:t>
            </w:r>
          </w:p>
        </w:tc>
      </w:tr>
    </w:tbl>
    <w:p/>
    <w:p>
      <w:r>
        <w:rPr>
          <w:b/>
          <w:sz w:val="26"/>
        </w:rPr>
        <w:t>4.2 Dynamic Type / font scaling</w:t>
      </w:r>
    </w:p>
    <w:p>
      <w:pPr>
        <w:pStyle w:val="ListBullet"/>
        <w:spacing w:after="40"/>
      </w:pPr>
      <w:r>
        <w:t>Allow wrapping on card titles and labels; prefer multi-line over truncation.</w:t>
      </w:r>
    </w:p>
    <w:p>
      <w:pPr>
        <w:pStyle w:val="ListBullet"/>
        <w:spacing w:after="40"/>
      </w:pPr>
      <w:r>
        <w:t>Increase card heights as text scales; avoid overlap by letting screens scroll.</w:t>
      </w:r>
    </w:p>
    <w:p>
      <w:pPr>
        <w:pStyle w:val="ListBullet"/>
        <w:spacing w:after="40"/>
      </w:pPr>
      <w:r>
        <w:t>Avoid truncating balances; if necessary, reduce font size slightly but keep full value visible.</w:t>
      </w:r>
    </w:p>
    <w:p>
      <w:r>
        <w:rPr>
          <w:b/>
          <w:sz w:val="26"/>
        </w:rPr>
        <w:t>4.3 Safe areas + keyboard</w:t>
      </w:r>
    </w:p>
    <w:p>
      <w:pPr>
        <w:pStyle w:val="ListBullet"/>
        <w:spacing w:after="40"/>
      </w:pPr>
      <w:r>
        <w:t>Always add bottom padding equal to: (bottom nav height + safe area inset).</w:t>
      </w:r>
    </w:p>
    <w:p>
      <w:pPr>
        <w:pStyle w:val="ListBullet"/>
        <w:spacing w:after="40"/>
      </w:pPr>
      <w:r>
        <w:t>For forms, keep the primary CTA above keyboard; use inset-aware sticky footer.</w:t>
      </w:r>
    </w:p>
    <w:p>
      <w:pPr>
        <w:pStyle w:val="ListBullet"/>
        <w:spacing w:after="40"/>
      </w:pPr>
      <w:r>
        <w:t>On notched devices, maintain safe top inset so header doesn’t collide with the system status area.</w:t>
      </w:r>
    </w:p>
    <w:p>
      <w:r>
        <w:rPr>
          <w:b/>
          <w:sz w:val="32"/>
        </w:rPr>
        <w:t>5. Dark mode parity</w:t>
      </w:r>
    </w:p>
    <w:p>
      <w:pPr>
        <w:spacing w:after="120"/>
      </w:pPr>
      <w:r>
        <w:t>Dark mode should not change alignment. Only swap colors/surfaces. Verify contrast remains sufficient and that status is not conveyed by color alone.</w:t>
      </w:r>
    </w:p>
    <w:p>
      <w:r>
        <w:rPr>
          <w:b/>
          <w:sz w:val="32"/>
        </w:rPr>
        <w:t>6. QA checklist (alignment &amp; responsiveness)</w:t>
      </w:r>
    </w:p>
    <w:p>
      <w:pPr>
        <w:pStyle w:val="ListBullet"/>
        <w:spacing w:after="40"/>
      </w:pPr>
      <w:r>
        <w:t>All left edges align (titles, cards, lists, form fields).</w:t>
      </w:r>
    </w:p>
    <w:p>
      <w:pPr>
        <w:pStyle w:val="ListBullet"/>
        <w:spacing w:after="40"/>
      </w:pPr>
      <w:r>
        <w:t>No arbitrary spacing values (use tokens only).</w:t>
      </w:r>
    </w:p>
    <w:p>
      <w:pPr>
        <w:pStyle w:val="ListBullet"/>
        <w:spacing w:after="40"/>
      </w:pPr>
      <w:r>
        <w:t>Card padding matches across screens.</w:t>
      </w:r>
    </w:p>
    <w:p>
      <w:pPr>
        <w:pStyle w:val="ListBullet"/>
        <w:spacing w:after="40"/>
      </w:pPr>
      <w:r>
        <w:t>Bottom nav icons are optically centered and evenly distributed.</w:t>
      </w:r>
    </w:p>
    <w:p>
      <w:pPr>
        <w:pStyle w:val="ListBullet"/>
        <w:spacing w:after="40"/>
      </w:pPr>
      <w:r>
        <w:t>Compact layout reflows (quick actions 2×2, stat cards stack).</w:t>
      </w:r>
    </w:p>
    <w:p>
      <w:pPr>
        <w:pStyle w:val="ListBullet"/>
        <w:spacing w:after="40"/>
      </w:pPr>
      <w:r>
        <w:t>Large layout caps line length (max content width) and does not look “stretched”.</w:t>
      </w:r>
    </w:p>
    <w:p>
      <w:pPr>
        <w:pStyle w:val="ListBullet"/>
        <w:spacing w:after="40"/>
      </w:pPr>
      <w:r>
        <w:t>Dynamic Type does not cause clipping; screen scrolls instead.</w:t>
      </w:r>
    </w:p>
    <w:p>
      <w:pPr>
        <w:pStyle w:val="ListBullet"/>
        <w:spacing w:after="40"/>
      </w:pPr>
      <w:r>
        <w:t>Dark mode maintains sufficient contrast and retains the same spacing.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