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Swipe Savvy Mobile Wallet</w:t>
        <w:br/>
        <w:t>Alignment + Responsiveness Spec (v5)</w:t>
      </w:r>
    </w:p>
    <w:p>
      <w:r>
        <w:t>This spec defines alignment rules and responsive behaviors for the Swipe Savvy mobile wallet UI so screens stay consistent as features are added.</w:t>
      </w:r>
    </w:p>
    <w:p>
      <w:pPr>
        <w:pStyle w:val="Heading1"/>
      </w:pPr>
      <w:r>
        <w:t>1. Layout grid</w:t>
      </w:r>
    </w:p>
    <w:p>
      <w:pPr>
        <w:pStyle w:val="ListBullet"/>
      </w:pPr>
      <w:r>
        <w:t>Use a single 4‑column grid on every screen.</w:t>
      </w:r>
    </w:p>
    <w:p>
      <w:pPr>
        <w:pStyle w:val="ListBullet"/>
      </w:pPr>
      <w:r>
        <w:t>Spacing uses a 4dp baseline rhythm (vertical).</w:t>
      </w:r>
    </w:p>
    <w:p>
      <w:pPr>
        <w:pStyle w:val="ListBullet"/>
      </w:pPr>
      <w:r>
        <w:t>Page margins: 16dp (compact/standard), 20dp (large).</w:t>
      </w:r>
    </w:p>
    <w:p>
      <w:pPr>
        <w:pStyle w:val="ListBullet"/>
      </w:pPr>
      <w:r>
        <w:t>All major cards share one left edge and consistent widths.</w:t>
      </w:r>
    </w:p>
    <w:p>
      <w:pPr>
        <w:pStyle w:val="Heading1"/>
      </w:pPr>
      <w:r>
        <w:t>2. Responsiveness by breakpoint</w:t>
      </w:r>
    </w:p>
    <w:p>
      <w:r>
        <w:t>Breakpoints are in dp:</w:t>
      </w:r>
    </w:p>
    <w:p>
      <w:pPr>
        <w:pStyle w:val="ListBullet"/>
      </w:pPr>
      <w:r>
        <w:t>Compact (≤360dp): quick actions use a 2×2 grid; copy tightens (shorter labels); avoid truncation of money amounts.</w:t>
      </w:r>
    </w:p>
    <w:p>
      <w:pPr>
        <w:pStyle w:val="ListBullet"/>
      </w:pPr>
      <w:r>
        <w:t>Standard (361–414dp): quick actions switch to a 1×4 row; maintain the same left edge and vertical rhythm.</w:t>
      </w:r>
    </w:p>
    <w:p>
      <w:pPr>
        <w:pStyle w:val="ListBullet"/>
      </w:pPr>
      <w:r>
        <w:t>Large (≥415dp): increase margins + apply a max content width; use the extra space to show helpful previews (e.g., Recent activity).</w:t>
      </w:r>
    </w:p>
    <w:p>
      <w:pPr>
        <w:pStyle w:val="Heading1"/>
      </w:pPr>
      <w:r>
        <w:t>3. Alignment rules</w:t>
      </w:r>
    </w:p>
    <w:p>
      <w:pPr>
        <w:pStyle w:val="ListBullet"/>
      </w:pPr>
      <w:r>
        <w:t>Cards: 16dp padding, 16dp radius, consistent header/title baselines.</w:t>
      </w:r>
    </w:p>
    <w:p>
      <w:pPr>
        <w:pStyle w:val="ListBullet"/>
      </w:pPr>
      <w:r>
        <w:t>Lists: 56dp min row height, 24dp icons, predictable text wrapping.</w:t>
      </w:r>
    </w:p>
    <w:p>
      <w:pPr>
        <w:pStyle w:val="ListBullet"/>
      </w:pPr>
      <w:r>
        <w:t>Buttons: 44px minimum tap target; primary CTA stays reachable above the bottom nav and above the keyboard.</w:t>
      </w:r>
    </w:p>
    <w:p>
      <w:pPr>
        <w:pStyle w:val="Heading1"/>
      </w:pPr>
      <w:r>
        <w:t>4. Bottom navigation (translucent icons)</w:t>
      </w:r>
    </w:p>
    <w:p>
      <w:pPr>
        <w:pStyle w:val="ListBullet"/>
      </w:pPr>
      <w:r>
        <w:t>Floating pill (safe-area inset).</w:t>
      </w:r>
    </w:p>
    <w:p>
      <w:pPr>
        <w:pStyle w:val="ListBullet"/>
      </w:pPr>
      <w:r>
        <w:t>Inactive icon opacity: 45% (light mode) / 55% (dark mode).</w:t>
      </w:r>
    </w:p>
    <w:p>
      <w:pPr>
        <w:pStyle w:val="ListBullet"/>
      </w:pPr>
      <w:r>
        <w:t>Active state: bubble highlight + small indicator dot.</w:t>
      </w:r>
    </w:p>
    <w:p>
      <w:pPr>
        <w:pStyle w:val="ListBullet"/>
      </w:pPr>
      <w:r>
        <w:t>Keep labels visible (supports Gen‑X clarity and accessibility).</w:t>
      </w:r>
    </w:p>
    <w:p>
      <w:pPr>
        <w:pStyle w:val="Heading1"/>
      </w:pPr>
      <w:r>
        <w:t>5. Dark mode</w:t>
      </w:r>
    </w:p>
    <w:p>
      <w:pPr>
        <w:pStyle w:val="ListBullet"/>
      </w:pPr>
      <w:r>
        <w:t>Dark mode is a theme swap only — constraints and spacing are identical.</w:t>
      </w:r>
    </w:p>
    <w:p>
      <w:pPr>
        <w:pStyle w:val="ListBullet"/>
      </w:pPr>
      <w:r>
        <w:t>Use Deep Blue as the base background; surface cards are slightly lighter for depth.</w:t>
      </w:r>
    </w:p>
    <w:p>
      <w:pPr>
        <w:pStyle w:val="ListBullet"/>
      </w:pPr>
      <w:r>
        <w:t>Maintain contrast for primary text and interactive elements; do not rely on color alone to communicate state.</w:t>
      </w:r>
    </w:p>
    <w:p>
      <w:pPr>
        <w:pStyle w:val="Heading1"/>
      </w:pPr>
      <w:r>
        <w:t>6. Engineering translation notes</w:t>
      </w:r>
    </w:p>
    <w:p>
      <w:pPr>
        <w:pStyle w:val="ListBullet"/>
      </w:pPr>
      <w:r>
        <w:t>iOS: Auto Layout constraints pinned to safe area; use stack views for vertical rhythm; support Dynamic Type.</w:t>
      </w:r>
    </w:p>
    <w:p>
      <w:pPr>
        <w:pStyle w:val="ListBullet"/>
      </w:pPr>
      <w:r>
        <w:t>Android: ConstraintLayout with guidelines for margins/columns; use scalable text and avoid hard-coded heights when copy can wrap.</w:t>
      </w:r>
    </w:p>
    <w:p>
      <w:pPr>
        <w:pStyle w:val="ListBullet"/>
      </w:pPr>
      <w:r>
        <w:t>Use token-only spacing/radius values to prevent drift.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