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443CC9" w:rsidRDefault="00443CC9" w14:paraId="785087C0" w14:textId="77777777">
      <w:pPr>
        <w:rPr>
          <w:rFonts w:ascii="Roboto" w:hAnsi="Roboto" w:eastAsia="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443CC9" w:rsidTr="0479F9EF" w14:paraId="440F49C5"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rsidR="00443CC9" w:rsidRDefault="00443CC9" w14:paraId="4474C14B" w14:textId="77777777">
            <w:pPr>
              <w:widowControl w:val="0"/>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rsidR="00443CC9" w:rsidRDefault="00B83056" w14:paraId="4E282D7E" w14:textId="77777777">
            <w:pPr>
              <w:widowControl w:val="0"/>
              <w:jc w:val="center"/>
              <w:rPr>
                <w:rFonts w:ascii="Roboto" w:hAnsi="Roboto" w:eastAsia="Roboto" w:cs="Roboto"/>
                <w:i/>
                <w:color w:val="FFFFFF"/>
                <w:sz w:val="18"/>
                <w:szCs w:val="18"/>
              </w:rPr>
            </w:pPr>
            <w:r>
              <w:rPr>
                <w:rFonts w:ascii="Roboto" w:hAnsi="Roboto" w:eastAsia="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rsidR="00443CC9" w:rsidRDefault="00443CC9" w14:paraId="76660D0B" w14:textId="77777777">
            <w:pPr>
              <w:widowControl w:val="0"/>
              <w:rPr>
                <w:rFonts w:ascii="Roboto" w:hAnsi="Roboto" w:eastAsia="Roboto" w:cs="Roboto"/>
                <w:sz w:val="20"/>
                <w:szCs w:val="20"/>
              </w:rPr>
            </w:pPr>
          </w:p>
        </w:tc>
      </w:tr>
      <w:tr w:rsidR="00443CC9" w:rsidTr="0479F9EF" w14:paraId="30762CD5"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rsidR="00443CC9" w:rsidRDefault="00443CC9" w14:paraId="198DDE44" w14:textId="77777777">
            <w:pPr>
              <w:widowControl w:val="0"/>
              <w:rPr>
                <w:rFonts w:ascii="Roboto" w:hAnsi="Roboto" w:eastAsia="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rsidR="00443CC9" w:rsidRDefault="00443CC9" w14:paraId="7294860E" w14:textId="77777777">
            <w:pPr>
              <w:widowControl w:val="0"/>
              <w:spacing w:line="240" w:lineRule="auto"/>
              <w:rPr>
                <w:rFonts w:ascii="Roboto" w:hAnsi="Roboto" w:eastAsia="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rsidR="00443CC9" w:rsidRDefault="00443CC9" w14:paraId="46E7BF7F" w14:textId="77777777">
            <w:pPr>
              <w:widowControl w:val="0"/>
              <w:spacing w:line="240" w:lineRule="auto"/>
              <w:rPr>
                <w:rFonts w:ascii="Roboto" w:hAnsi="Roboto" w:eastAsia="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rsidR="00443CC9" w:rsidRDefault="00443CC9" w14:paraId="43AA4114" w14:textId="77777777">
            <w:pPr>
              <w:widowControl w:val="0"/>
              <w:spacing w:line="240" w:lineRule="auto"/>
              <w:rPr>
                <w:rFonts w:ascii="Roboto" w:hAnsi="Roboto" w:eastAsia="Roboto" w:cs="Roboto"/>
                <w:sz w:val="16"/>
                <w:szCs w:val="16"/>
              </w:rPr>
            </w:pPr>
          </w:p>
        </w:tc>
        <w:tc>
          <w:tcPr>
            <w:tcW w:w="210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443CC9" w:rsidRDefault="00443CC9" w14:paraId="758F8337" w14:textId="77777777">
            <w:pPr>
              <w:widowControl w:val="0"/>
              <w:spacing w:line="240" w:lineRule="auto"/>
              <w:jc w:val="center"/>
              <w:rPr>
                <w:b/>
                <w:sz w:val="16"/>
                <w:szCs w:val="16"/>
              </w:rPr>
            </w:pPr>
          </w:p>
        </w:tc>
        <w:tc>
          <w:tcPr>
            <w:tcW w:w="945" w:type="dxa"/>
            <w:gridSpan w:val="2"/>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443CC9" w:rsidRDefault="00443CC9" w14:paraId="1DA9C4DA" w14:textId="77777777">
            <w:pPr>
              <w:widowControl w:val="0"/>
              <w:spacing w:line="240" w:lineRule="auto"/>
              <w:rPr>
                <w:color w:val="999999"/>
                <w:sz w:val="16"/>
                <w:szCs w:val="16"/>
              </w:rPr>
            </w:pPr>
          </w:p>
        </w:tc>
        <w:tc>
          <w:tcPr>
            <w:tcW w:w="1785"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443CC9" w:rsidRDefault="00443CC9" w14:paraId="14F19A04" w14:textId="77777777">
            <w:pPr>
              <w:widowControl w:val="0"/>
              <w:rPr>
                <w:rFonts w:ascii="Roboto" w:hAnsi="Roboto" w:eastAsia="Roboto" w:cs="Roboto"/>
                <w:sz w:val="16"/>
                <w:szCs w:val="16"/>
              </w:rPr>
            </w:pPr>
          </w:p>
        </w:tc>
        <w:tc>
          <w:tcPr>
            <w:tcW w:w="273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443CC9" w:rsidRDefault="00443CC9" w14:paraId="13AE557C" w14:textId="77777777">
            <w:pPr>
              <w:widowControl w:val="0"/>
              <w:rPr>
                <w:rFonts w:ascii="Roboto" w:hAnsi="Roboto" w:eastAsia="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rsidR="00443CC9" w:rsidRDefault="00443CC9" w14:paraId="22123B35" w14:textId="77777777">
            <w:pPr>
              <w:widowControl w:val="0"/>
              <w:rPr>
                <w:rFonts w:ascii="Roboto" w:hAnsi="Roboto" w:eastAsia="Roboto" w:cs="Roboto"/>
                <w:sz w:val="16"/>
                <w:szCs w:val="16"/>
              </w:rPr>
            </w:pPr>
          </w:p>
        </w:tc>
      </w:tr>
      <w:tr w:rsidR="00443CC9" w:rsidTr="0479F9EF" w14:paraId="6B86AB4D"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B83056" w14:paraId="40A2B348" w14:textId="77777777">
            <w:pPr>
              <w:widowControl w:val="0"/>
              <w:rPr>
                <w:rFonts w:ascii="Roboto" w:hAnsi="Roboto" w:eastAsia="Roboto" w:cs="Roboto"/>
                <w:sz w:val="20"/>
                <w:szCs w:val="20"/>
              </w:rPr>
            </w:pPr>
            <w:r>
              <w:rPr>
                <w:rFonts w:ascii="Roboto" w:hAnsi="Roboto" w:eastAsia="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rsidR="00443CC9" w:rsidRDefault="00B83056" w14:paraId="3CC4AB12" w14:textId="77777777">
            <w:pPr>
              <w:widowControl w:val="0"/>
              <w:spacing w:line="240" w:lineRule="auto"/>
              <w:rPr>
                <w:rFonts w:ascii="Roboto" w:hAnsi="Roboto" w:eastAsia="Roboto" w:cs="Roboto"/>
                <w:sz w:val="20"/>
                <w:szCs w:val="20"/>
              </w:rPr>
            </w:pPr>
            <w:r>
              <w:rPr>
                <w:rFonts w:ascii="Roboto" w:hAnsi="Roboto" w:eastAsia="Roboto" w:cs="Roboto"/>
                <w:noProof/>
                <w:sz w:val="20"/>
                <w:szCs w:val="20"/>
              </w:rPr>
              <w:drawing>
                <wp:inline distT="114300" distB="114300" distL="114300" distR="114300" wp14:anchorId="77327A14" wp14:editId="66824F98">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rsidR="00443CC9" w:rsidRDefault="00443CC9" w14:paraId="5FE3AA2D"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3C047BFB"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443CC9" w:rsidRDefault="00B83056" w14:paraId="13151AC9" w14:textId="7777777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443CC9" w:rsidRDefault="00B83056" w14:paraId="2BB15941" w14:textId="77777777">
            <w:pPr>
              <w:widowControl w:val="0"/>
              <w:spacing w:line="240" w:lineRule="auto"/>
              <w:rPr>
                <w:sz w:val="20"/>
                <w:szCs w:val="20"/>
              </w:rPr>
            </w:pPr>
            <w:r>
              <w:rPr>
                <w:sz w:val="20"/>
                <w:szCs w:val="20"/>
              </w:rPr>
              <w:t>International exports of services from subnational areas of the UK: 2017</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4DB9C9FC" w14:textId="77777777">
            <w:pPr>
              <w:widowControl w:val="0"/>
              <w:spacing w:line="240" w:lineRule="auto"/>
              <w:rPr>
                <w:rFonts w:ascii="Roboto" w:hAnsi="Roboto" w:eastAsia="Roboto" w:cs="Roboto"/>
                <w:sz w:val="20"/>
                <w:szCs w:val="20"/>
              </w:rPr>
            </w:pPr>
          </w:p>
        </w:tc>
      </w:tr>
      <w:tr w:rsidR="00443CC9" w:rsidTr="0479F9EF" w14:paraId="2FB8ADB8"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28669240" w14:textId="77777777">
            <w:pPr>
              <w:widowControl w:val="0"/>
              <w:spacing w:line="240" w:lineRule="auto"/>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443CC9" w:rsidRDefault="00443CC9" w14:paraId="02055CAC"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22C0E789"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443CC9" w:rsidRDefault="00B83056" w14:paraId="5D7F3D53" w14:textId="7777777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443CC9" w:rsidRDefault="00B83056" w14:paraId="75607FBA" w14:textId="77777777">
            <w:pPr>
              <w:widowControl w:val="0"/>
              <w:spacing w:line="240" w:lineRule="auto"/>
              <w:rPr>
                <w:sz w:val="20"/>
                <w:szCs w:val="20"/>
              </w:rPr>
            </w:pPr>
            <w:r>
              <w:rPr>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1210F5F7" w14:textId="77777777">
            <w:pPr>
              <w:widowControl w:val="0"/>
              <w:spacing w:line="240" w:lineRule="auto"/>
              <w:rPr>
                <w:rFonts w:ascii="Roboto" w:hAnsi="Roboto" w:eastAsia="Roboto" w:cs="Roboto"/>
                <w:sz w:val="36"/>
                <w:szCs w:val="36"/>
              </w:rPr>
            </w:pPr>
          </w:p>
        </w:tc>
      </w:tr>
      <w:tr w:rsidR="00443CC9" w:rsidTr="0479F9EF" w14:paraId="4FDD1385" w14:textId="77777777">
        <w:trPr>
          <w:trHeight w:val="5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5AED2D08" w14:textId="77777777">
            <w:pPr>
              <w:widowControl w:val="0"/>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443CC9" w:rsidRDefault="00443CC9" w14:paraId="57E566CB" w14:textId="77777777">
            <w:pPr>
              <w:widowControl w:val="0"/>
              <w:spacing w:line="240" w:lineRule="auto"/>
              <w:rPr>
                <w:rFonts w:ascii="Roboto" w:hAnsi="Roboto" w:eastAsia="Roboto" w:cs="Roboto"/>
                <w:sz w:val="20"/>
                <w:szCs w:val="20"/>
              </w:rPr>
            </w:pPr>
          </w:p>
        </w:tc>
        <w:tc>
          <w:tcPr>
            <w:tcW w:w="360"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16A56040"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443CC9" w:rsidRDefault="00B83056" w14:paraId="616A3D4E" w14:textId="7777777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443CC9" w:rsidRDefault="00B83056" w14:paraId="43BED32B" w14:textId="77777777">
            <w:pPr>
              <w:widowControl w:val="0"/>
              <w:spacing w:line="240" w:lineRule="auto"/>
              <w:rPr>
                <w:sz w:val="20"/>
                <w:szCs w:val="20"/>
              </w:rPr>
            </w:pPr>
            <w:r>
              <w:rPr>
                <w:sz w:val="20"/>
                <w:szCs w:val="20"/>
              </w:rPr>
              <w:t>Trade</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443CC9" w:rsidRDefault="00443CC9" w14:paraId="0AB7FFCD" w14:textId="77777777">
            <w:pPr>
              <w:widowControl w:val="0"/>
              <w:spacing w:line="240" w:lineRule="auto"/>
              <w:rPr>
                <w:rFonts w:ascii="Roboto" w:hAnsi="Roboto" w:eastAsia="Roboto" w:cs="Roboto"/>
                <w:sz w:val="20"/>
                <w:szCs w:val="20"/>
              </w:rPr>
            </w:pPr>
          </w:p>
        </w:tc>
      </w:tr>
      <w:tr w:rsidR="00443CC9" w:rsidTr="0479F9EF" w14:paraId="0E4625E2" w14:textId="77777777">
        <w:trPr>
          <w:trHeight w:val="300"/>
        </w:trPr>
        <w:tc>
          <w:tcPr>
            <w:tcW w:w="258" w:type="dxa"/>
            <w:tcBorders>
              <w:top w:val="nil"/>
              <w:left w:val="nil"/>
              <w:bottom w:val="nil"/>
              <w:right w:val="dotted" w:color="FFFFFF" w:themeColor="background1" w:sz="12" w:space="0"/>
            </w:tcBorders>
            <w:shd w:val="clear" w:color="auto" w:fill="F3F3F3"/>
            <w:tcMar>
              <w:top w:w="0" w:type="dxa"/>
              <w:left w:w="40" w:type="dxa"/>
              <w:bottom w:w="0" w:type="dxa"/>
              <w:right w:w="40" w:type="dxa"/>
            </w:tcMar>
            <w:vAlign w:val="bottom"/>
          </w:tcPr>
          <w:p w:rsidR="00443CC9" w:rsidRDefault="00443CC9" w14:paraId="6F42AA0F" w14:textId="77777777">
            <w:pPr>
              <w:widowControl w:val="0"/>
              <w:rPr>
                <w:rFonts w:ascii="Roboto" w:hAnsi="Roboto" w:eastAsia="Roboto" w:cs="Roboto"/>
                <w:sz w:val="20"/>
                <w:szCs w:val="20"/>
              </w:rPr>
            </w:pPr>
          </w:p>
        </w:tc>
        <w:tc>
          <w:tcPr>
            <w:tcW w:w="2655" w:type="dxa"/>
            <w:gridSpan w:val="2"/>
            <w:tcBorders>
              <w:top w:val="dotted" w:color="FFFFFF" w:themeColor="background1" w:sz="12" w:space="0"/>
              <w:left w:val="dotted" w:color="FFFFFF" w:themeColor="background1" w:sz="12" w:space="0"/>
              <w:bottom w:val="dotted" w:color="FFFFFF" w:themeColor="background1" w:sz="12" w:space="0"/>
              <w:right w:val="dotted" w:color="FFFFFF" w:themeColor="background1" w:sz="12" w:space="0"/>
            </w:tcBorders>
            <w:shd w:val="clear" w:color="auto" w:fill="1F3864"/>
            <w:tcMar>
              <w:top w:w="0" w:type="dxa"/>
              <w:left w:w="40" w:type="dxa"/>
              <w:bottom w:w="0" w:type="dxa"/>
              <w:right w:w="40" w:type="dxa"/>
            </w:tcMar>
            <w:vAlign w:val="center"/>
          </w:tcPr>
          <w:p w:rsidR="00443CC9" w:rsidP="0479F9EF" w:rsidRDefault="00B83056" w14:paraId="6B82EBFF" w14:textId="77777777">
            <w:pPr>
              <w:widowControl w:val="0"/>
              <w:spacing w:line="240" w:lineRule="auto"/>
              <w:jc w:val="center"/>
              <w:rPr>
                <w:rFonts w:ascii="Roboto" w:hAnsi="Roboto" w:eastAsia="Roboto" w:cs="Roboto"/>
                <w:b w:val="1"/>
                <w:bCs w:val="1"/>
                <w:i w:val="1"/>
                <w:iCs w:val="1"/>
                <w:color w:val="FFFFFF"/>
                <w:sz w:val="20"/>
                <w:szCs w:val="20"/>
                <w:u w:val="single"/>
              </w:rPr>
            </w:pPr>
            <w:hyperlink r:id="R4011e842b5b44250">
              <w:r w:rsidRPr="0479F9EF" w:rsidR="0479F9EF">
                <w:rPr>
                  <w:rFonts w:ascii="Roboto" w:hAnsi="Roboto" w:eastAsia="Roboto" w:cs="Roboto"/>
                  <w:b w:val="1"/>
                  <w:bCs w:val="1"/>
                  <w:i w:val="1"/>
                  <w:iCs w:val="1"/>
                  <w:color w:val="FFFFFF" w:themeColor="background1" w:themeTint="FF" w:themeShade="FF"/>
                  <w:sz w:val="20"/>
                  <w:szCs w:val="20"/>
                  <w:u w:val="single"/>
                </w:rPr>
                <w:t>[LINK TO SOURCE]</w:t>
              </w:r>
            </w:hyperlink>
          </w:p>
        </w:tc>
        <w:tc>
          <w:tcPr>
            <w:tcW w:w="360" w:type="dxa"/>
            <w:tcBorders>
              <w:top w:val="nil"/>
              <w:left w:val="dotted" w:color="FFFFFF" w:themeColor="background1" w:sz="12"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18A47ADE"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443CC9" w:rsidRDefault="00B83056" w14:paraId="790A5968" w14:textId="7777777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443CC9" w:rsidRDefault="00B83056" w14:paraId="1D14E4EB" w14:textId="77777777">
            <w:pPr>
              <w:widowControl w:val="0"/>
              <w:spacing w:line="240" w:lineRule="auto"/>
              <w:rPr>
                <w:sz w:val="20"/>
                <w:szCs w:val="20"/>
              </w:rPr>
            </w:pPr>
            <w:r>
              <w:rPr>
                <w:sz w:val="20"/>
                <w:szCs w:val="20"/>
              </w:rPr>
              <w:t>Annual figures released on an irregular schedule</w:t>
            </w:r>
          </w:p>
          <w:p w:rsidR="00443CC9" w:rsidRDefault="00B83056" w14:paraId="459EC1D8" w14:textId="77777777">
            <w:pPr>
              <w:widowControl w:val="0"/>
              <w:spacing w:line="240" w:lineRule="auto"/>
              <w:rPr>
                <w:sz w:val="20"/>
                <w:szCs w:val="20"/>
              </w:rPr>
            </w:pPr>
            <w:r>
              <w:rPr>
                <w:sz w:val="20"/>
                <w:szCs w:val="20"/>
              </w:rPr>
              <w:t>(data has 2 year lag)</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443CC9" w:rsidRDefault="00443CC9" w14:paraId="767F5754" w14:textId="77777777">
            <w:pPr>
              <w:widowControl w:val="0"/>
              <w:spacing w:line="240" w:lineRule="auto"/>
              <w:rPr>
                <w:rFonts w:ascii="Roboto" w:hAnsi="Roboto" w:eastAsia="Roboto" w:cs="Roboto"/>
                <w:sz w:val="20"/>
                <w:szCs w:val="20"/>
              </w:rPr>
            </w:pPr>
          </w:p>
        </w:tc>
      </w:tr>
      <w:tr w:rsidR="00443CC9" w:rsidTr="0479F9EF" w14:paraId="221DD85B"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34280606" w14:textId="77777777">
            <w:pPr>
              <w:widowControl w:val="0"/>
              <w:rPr>
                <w:rFonts w:ascii="Roboto" w:hAnsi="Roboto" w:eastAsia="Roboto" w:cs="Roboto"/>
                <w:sz w:val="20"/>
                <w:szCs w:val="20"/>
              </w:rPr>
            </w:pPr>
          </w:p>
        </w:tc>
        <w:tc>
          <w:tcPr>
            <w:tcW w:w="1725"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443CC9" w:rsidRDefault="00443CC9" w14:paraId="7E7BF37C" w14:textId="77777777">
            <w:pPr>
              <w:widowControl w:val="0"/>
              <w:rPr>
                <w:rFonts w:ascii="Roboto" w:hAnsi="Roboto" w:eastAsia="Roboto" w:cs="Roboto"/>
                <w:sz w:val="20"/>
                <w:szCs w:val="20"/>
              </w:rPr>
            </w:pPr>
          </w:p>
        </w:tc>
        <w:tc>
          <w:tcPr>
            <w:tcW w:w="930"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443CC9" w:rsidRDefault="00443CC9" w14:paraId="7438DE0B" w14:textId="77777777">
            <w:pPr>
              <w:widowControl w:val="0"/>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44AB51E5"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7B718871" w14:textId="77777777">
            <w:pPr>
              <w:widowControl w:val="0"/>
              <w:rPr>
                <w:rFonts w:ascii="Roboto" w:hAnsi="Roboto" w:eastAsia="Roboto" w:cs="Roboto"/>
                <w:sz w:val="20"/>
                <w:szCs w:val="20"/>
              </w:rPr>
            </w:pPr>
          </w:p>
        </w:tc>
        <w:tc>
          <w:tcPr>
            <w:tcW w:w="94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4D8C577A"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1C04CA0D" w14:textId="77777777">
            <w:pPr>
              <w:widowControl w:val="0"/>
              <w:jc w:val="center"/>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7EC80952" w14:textId="77777777">
            <w:pPr>
              <w:widowControl w:val="0"/>
              <w:jc w:val="center"/>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5B1A7C42" w14:textId="77777777">
            <w:pPr>
              <w:widowControl w:val="0"/>
              <w:jc w:val="center"/>
              <w:rPr>
                <w:rFonts w:ascii="Roboto" w:hAnsi="Roboto" w:eastAsia="Roboto" w:cs="Roboto"/>
                <w:sz w:val="20"/>
                <w:szCs w:val="20"/>
              </w:rPr>
            </w:pPr>
          </w:p>
        </w:tc>
      </w:tr>
      <w:tr w:rsidR="00443CC9" w:rsidTr="0479F9EF" w14:paraId="3C84708D"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6E01CF82"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443CC9" w:rsidRDefault="00B83056" w14:paraId="56828DC2"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Description</w:t>
            </w:r>
          </w:p>
        </w:tc>
        <w:tc>
          <w:tcPr>
            <w:tcW w:w="2805" w:type="dxa"/>
            <w:gridSpan w:val="2"/>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69853C17"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375F3EC9"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443CC9" w:rsidRDefault="00B83056" w14:paraId="5BF8653B"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Key Info</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63507BD2"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21AB1D01" w14:textId="77777777">
            <w:pPr>
              <w:widowControl w:val="0"/>
              <w:rPr>
                <w:rFonts w:ascii="Roboto" w:hAnsi="Roboto" w:eastAsia="Roboto" w:cs="Roboto"/>
                <w:sz w:val="20"/>
                <w:szCs w:val="20"/>
              </w:rPr>
            </w:pPr>
          </w:p>
        </w:tc>
      </w:tr>
      <w:tr w:rsidR="00443CC9" w:rsidTr="0479F9EF" w14:paraId="0BEDA770"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3FDEAC1C"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5C7D94AC" w14:textId="77777777">
            <w:pPr>
              <w:widowControl w:val="0"/>
              <w:numPr>
                <w:ilvl w:val="0"/>
                <w:numId w:val="1"/>
              </w:numPr>
              <w:spacing w:line="240" w:lineRule="auto"/>
              <w:rPr>
                <w:sz w:val="20"/>
                <w:szCs w:val="20"/>
              </w:rPr>
            </w:pPr>
            <w:r>
              <w:rPr>
                <w:sz w:val="20"/>
                <w:szCs w:val="20"/>
              </w:rPr>
              <w:t>Subnational Service Exports break down the national-level UK Balance of Payments to create estimates of exports of services at smaller geographic levels.</w:t>
            </w:r>
          </w:p>
          <w:p w:rsidR="00443CC9" w:rsidRDefault="00B83056" w14:paraId="58BD76E8" w14:textId="77777777">
            <w:pPr>
              <w:widowControl w:val="0"/>
              <w:numPr>
                <w:ilvl w:val="0"/>
                <w:numId w:val="1"/>
              </w:numPr>
              <w:spacing w:line="240" w:lineRule="auto"/>
              <w:rPr>
                <w:sz w:val="20"/>
                <w:szCs w:val="20"/>
              </w:rPr>
            </w:pPr>
            <w:r>
              <w:rPr>
                <w:sz w:val="20"/>
                <w:szCs w:val="20"/>
              </w:rPr>
              <w:t xml:space="preserve">This experimental approach was first created in 2016 and has been significantly developed through the ONS Devolution Programme. Work is still ongoing, however most significant developments have been implemented as of the </w:t>
            </w:r>
            <w:hyperlink r:id="rId9">
              <w:r>
                <w:rPr>
                  <w:sz w:val="20"/>
                  <w:szCs w:val="20"/>
                  <w:u w:val="single"/>
                </w:rPr>
                <w:t>release on 11 September 2019</w:t>
              </w:r>
            </w:hyperlink>
            <w:r>
              <w:rPr>
                <w:sz w:val="20"/>
                <w:szCs w:val="20"/>
              </w:rPr>
              <w:t>.</w:t>
            </w:r>
          </w:p>
          <w:p w:rsidR="00443CC9" w:rsidRDefault="00B83056" w14:paraId="778775C0" w14:textId="77777777">
            <w:pPr>
              <w:widowControl w:val="0"/>
              <w:numPr>
                <w:ilvl w:val="0"/>
                <w:numId w:val="1"/>
              </w:numPr>
              <w:spacing w:line="240" w:lineRule="auto"/>
              <w:rPr>
                <w:sz w:val="20"/>
                <w:szCs w:val="20"/>
              </w:rPr>
            </w:pPr>
            <w:r>
              <w:rPr>
                <w:sz w:val="20"/>
                <w:szCs w:val="20"/>
              </w:rPr>
              <w:t>Results are released as an analytical article supported by a collection of spreadsheets. Output</w:t>
            </w:r>
            <w:r>
              <w:rPr>
                <w:sz w:val="20"/>
                <w:szCs w:val="20"/>
              </w:rPr>
              <w:t>s currently include breakdowns by:</w:t>
            </w:r>
          </w:p>
          <w:p w:rsidR="00443CC9" w:rsidRDefault="00B83056" w14:paraId="22BD2DEE" w14:textId="77777777">
            <w:pPr>
              <w:widowControl w:val="0"/>
              <w:numPr>
                <w:ilvl w:val="1"/>
                <w:numId w:val="1"/>
              </w:numPr>
              <w:spacing w:line="240" w:lineRule="auto"/>
              <w:rPr>
                <w:sz w:val="20"/>
                <w:szCs w:val="20"/>
              </w:rPr>
            </w:pPr>
            <w:r>
              <w:rPr>
                <w:sz w:val="20"/>
                <w:szCs w:val="20"/>
              </w:rPr>
              <w:t>Industry section by NUTS1 region</w:t>
            </w:r>
          </w:p>
          <w:p w:rsidR="00443CC9" w:rsidRDefault="00B83056" w14:paraId="4E97BB95" w14:textId="77777777">
            <w:pPr>
              <w:widowControl w:val="0"/>
              <w:numPr>
                <w:ilvl w:val="1"/>
                <w:numId w:val="1"/>
              </w:numPr>
              <w:spacing w:line="240" w:lineRule="auto"/>
              <w:rPr>
                <w:sz w:val="20"/>
                <w:szCs w:val="20"/>
              </w:rPr>
            </w:pPr>
            <w:r>
              <w:rPr>
                <w:sz w:val="20"/>
                <w:szCs w:val="20"/>
              </w:rPr>
              <w:t>Broad industry grouping by NUTS2 area</w:t>
            </w:r>
          </w:p>
          <w:p w:rsidR="00443CC9" w:rsidRDefault="00B83056" w14:paraId="2E041ED8" w14:textId="77777777">
            <w:pPr>
              <w:widowControl w:val="0"/>
              <w:numPr>
                <w:ilvl w:val="1"/>
                <w:numId w:val="1"/>
              </w:numPr>
              <w:spacing w:line="240" w:lineRule="auto"/>
              <w:rPr>
                <w:sz w:val="20"/>
                <w:szCs w:val="20"/>
              </w:rPr>
            </w:pPr>
            <w:r>
              <w:rPr>
                <w:sz w:val="20"/>
                <w:szCs w:val="20"/>
              </w:rPr>
              <w:t>Total value by NUTS3 area</w:t>
            </w:r>
          </w:p>
          <w:p w:rsidR="00443CC9" w:rsidRDefault="00B83056" w14:paraId="6F200488" w14:textId="77777777">
            <w:pPr>
              <w:widowControl w:val="0"/>
              <w:numPr>
                <w:ilvl w:val="1"/>
                <w:numId w:val="1"/>
              </w:numPr>
              <w:spacing w:line="240" w:lineRule="auto"/>
              <w:rPr>
                <w:sz w:val="20"/>
                <w:szCs w:val="20"/>
              </w:rPr>
            </w:pPr>
            <w:r>
              <w:rPr>
                <w:sz w:val="20"/>
                <w:szCs w:val="20"/>
              </w:rPr>
              <w:t>Industry section by ‘joint authority’ (English Combined Authorities, Scottish and Welsh City Deals)</w:t>
            </w:r>
          </w:p>
          <w:p w:rsidR="00443CC9" w:rsidRDefault="00B83056" w14:paraId="3A5ABADC" w14:textId="77777777">
            <w:pPr>
              <w:widowControl w:val="0"/>
              <w:numPr>
                <w:ilvl w:val="0"/>
                <w:numId w:val="1"/>
              </w:numPr>
              <w:spacing w:line="240" w:lineRule="auto"/>
              <w:rPr>
                <w:sz w:val="20"/>
                <w:szCs w:val="20"/>
              </w:rPr>
            </w:pPr>
            <w:r>
              <w:rPr>
                <w:sz w:val="20"/>
                <w:szCs w:val="20"/>
              </w:rPr>
              <w:t>The tables listed also i</w:t>
            </w:r>
            <w:r>
              <w:rPr>
                <w:sz w:val="20"/>
                <w:szCs w:val="20"/>
              </w:rPr>
              <w:t>nclude breakdowns by destination of export split as trade to EU countries versus trade to all non-EU countries.</w:t>
            </w:r>
          </w:p>
          <w:p w:rsidR="00443CC9" w:rsidRDefault="00B83056" w14:paraId="45BF61AA" w14:textId="77777777">
            <w:pPr>
              <w:widowControl w:val="0"/>
              <w:numPr>
                <w:ilvl w:val="0"/>
                <w:numId w:val="1"/>
              </w:numPr>
              <w:spacing w:line="240" w:lineRule="auto"/>
              <w:rPr>
                <w:sz w:val="20"/>
                <w:szCs w:val="20"/>
              </w:rPr>
            </w:pPr>
            <w:r>
              <w:rPr>
                <w:sz w:val="20"/>
                <w:szCs w:val="20"/>
              </w:rPr>
              <w:t xml:space="preserve">These outputs are broadly comparable with HMRC’s </w:t>
            </w:r>
            <w:hyperlink r:id="rId10">
              <w:r>
                <w:rPr>
                  <w:sz w:val="20"/>
                  <w:szCs w:val="20"/>
                  <w:u w:val="single"/>
                </w:rPr>
                <w:t>Regional Trade Statistics</w:t>
              </w:r>
            </w:hyperlink>
            <w:r>
              <w:rPr>
                <w:sz w:val="20"/>
                <w:szCs w:val="20"/>
              </w:rPr>
              <w:t xml:space="preserve"> which cover imports and exports of goods. Although created on different methodologies, the fundamental approach is similar. Users are advised to use caution when comparing results.</w:t>
            </w:r>
          </w:p>
          <w:p w:rsidR="00443CC9" w:rsidRDefault="00B83056" w14:paraId="5A128522" w14:textId="77777777">
            <w:pPr>
              <w:widowControl w:val="0"/>
              <w:numPr>
                <w:ilvl w:val="0"/>
                <w:numId w:val="1"/>
              </w:numPr>
              <w:spacing w:line="240" w:lineRule="auto"/>
              <w:rPr>
                <w:sz w:val="20"/>
                <w:szCs w:val="20"/>
              </w:rPr>
            </w:pPr>
            <w:r>
              <w:rPr>
                <w:sz w:val="20"/>
                <w:szCs w:val="20"/>
              </w:rPr>
              <w:t>Work is underway to create complementary values of imports of services at the subnational level. This is not expected to be ready until Summer 2020 at the earliest.</w:t>
            </w:r>
          </w:p>
          <w:p w:rsidR="00443CC9" w:rsidRDefault="00B83056" w14:paraId="138A430B" w14:textId="77777777">
            <w:pPr>
              <w:widowControl w:val="0"/>
              <w:numPr>
                <w:ilvl w:val="0"/>
                <w:numId w:val="1"/>
              </w:numPr>
              <w:spacing w:line="240" w:lineRule="auto"/>
              <w:rPr>
                <w:sz w:val="20"/>
                <w:szCs w:val="20"/>
              </w:rPr>
            </w:pPr>
            <w:r>
              <w:rPr>
                <w:sz w:val="20"/>
                <w:szCs w:val="20"/>
              </w:rPr>
              <w:t>Data is collated from several data sources:</w:t>
            </w:r>
          </w:p>
          <w:p w:rsidR="00443CC9" w:rsidRDefault="00B83056" w14:paraId="3A3AC0BB" w14:textId="77777777">
            <w:pPr>
              <w:widowControl w:val="0"/>
              <w:numPr>
                <w:ilvl w:val="1"/>
                <w:numId w:val="1"/>
              </w:numPr>
              <w:spacing w:line="240" w:lineRule="auto"/>
              <w:rPr>
                <w:sz w:val="20"/>
                <w:szCs w:val="20"/>
              </w:rPr>
            </w:pPr>
            <w:r>
              <w:rPr>
                <w:sz w:val="20"/>
                <w:szCs w:val="20"/>
              </w:rPr>
              <w:t>International Trade in Services survey</w:t>
            </w:r>
          </w:p>
          <w:p w:rsidR="00443CC9" w:rsidRDefault="00B83056" w14:paraId="7B00A790" w14:textId="77777777">
            <w:pPr>
              <w:widowControl w:val="0"/>
              <w:numPr>
                <w:ilvl w:val="1"/>
                <w:numId w:val="1"/>
              </w:numPr>
              <w:spacing w:line="240" w:lineRule="auto"/>
              <w:rPr>
                <w:sz w:val="20"/>
                <w:szCs w:val="20"/>
              </w:rPr>
            </w:pPr>
            <w:r>
              <w:rPr>
                <w:sz w:val="20"/>
                <w:szCs w:val="20"/>
              </w:rPr>
              <w:t>Inter-D</w:t>
            </w:r>
            <w:r>
              <w:rPr>
                <w:sz w:val="20"/>
                <w:szCs w:val="20"/>
              </w:rPr>
              <w:t>epartmental Business Register</w:t>
            </w:r>
          </w:p>
          <w:p w:rsidR="00443CC9" w:rsidRDefault="00B83056" w14:paraId="63293326" w14:textId="77777777">
            <w:pPr>
              <w:widowControl w:val="0"/>
              <w:numPr>
                <w:ilvl w:val="1"/>
                <w:numId w:val="1"/>
              </w:numPr>
              <w:spacing w:line="240" w:lineRule="auto"/>
              <w:rPr>
                <w:sz w:val="20"/>
                <w:szCs w:val="20"/>
              </w:rPr>
            </w:pPr>
            <w:r>
              <w:rPr>
                <w:sz w:val="20"/>
                <w:szCs w:val="20"/>
              </w:rPr>
              <w:t>Business Register and Employment Survey</w:t>
            </w:r>
          </w:p>
          <w:p w:rsidR="00443CC9" w:rsidRDefault="00B83056" w14:paraId="3E9C321D" w14:textId="77777777">
            <w:pPr>
              <w:widowControl w:val="0"/>
              <w:numPr>
                <w:ilvl w:val="1"/>
                <w:numId w:val="1"/>
              </w:numPr>
              <w:spacing w:line="240" w:lineRule="auto"/>
              <w:rPr>
                <w:sz w:val="20"/>
                <w:szCs w:val="20"/>
              </w:rPr>
            </w:pPr>
            <w:r>
              <w:rPr>
                <w:sz w:val="20"/>
                <w:szCs w:val="20"/>
              </w:rPr>
              <w:t>Bank of England FISIM and FEES</w:t>
            </w:r>
          </w:p>
          <w:p w:rsidR="00443CC9" w:rsidRDefault="00B83056" w14:paraId="093B5F4D" w14:textId="77777777">
            <w:pPr>
              <w:widowControl w:val="0"/>
              <w:numPr>
                <w:ilvl w:val="1"/>
                <w:numId w:val="1"/>
              </w:numPr>
              <w:spacing w:line="240" w:lineRule="auto"/>
              <w:rPr>
                <w:sz w:val="20"/>
                <w:szCs w:val="20"/>
              </w:rPr>
            </w:pPr>
            <w:r>
              <w:rPr>
                <w:sz w:val="20"/>
                <w:szCs w:val="20"/>
              </w:rPr>
              <w:t>UK Balance of Payments</w:t>
            </w:r>
          </w:p>
          <w:p w:rsidR="00443CC9" w:rsidRDefault="00B83056" w14:paraId="45C3BB81" w14:textId="77777777">
            <w:pPr>
              <w:widowControl w:val="0"/>
              <w:numPr>
                <w:ilvl w:val="1"/>
                <w:numId w:val="1"/>
              </w:numPr>
              <w:spacing w:line="240" w:lineRule="auto"/>
              <w:rPr>
                <w:sz w:val="20"/>
                <w:szCs w:val="20"/>
              </w:rPr>
            </w:pPr>
            <w:r>
              <w:rPr>
                <w:sz w:val="20"/>
                <w:szCs w:val="20"/>
              </w:rPr>
              <w:t>International Passenger Survey</w:t>
            </w:r>
          </w:p>
          <w:p w:rsidR="00443CC9" w:rsidRDefault="00B83056" w14:paraId="00FD15FD" w14:textId="77777777">
            <w:pPr>
              <w:widowControl w:val="0"/>
              <w:numPr>
                <w:ilvl w:val="1"/>
                <w:numId w:val="1"/>
              </w:numPr>
              <w:spacing w:line="240" w:lineRule="auto"/>
              <w:rPr>
                <w:sz w:val="20"/>
                <w:szCs w:val="20"/>
              </w:rPr>
            </w:pPr>
            <w:r>
              <w:rPr>
                <w:sz w:val="20"/>
                <w:szCs w:val="20"/>
              </w:rPr>
              <w:t>Broad Economy Sales and Exports Statistics (Northern Ireland)</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08414163"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4A762877"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 xml:space="preserve">Access </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31FB36BC"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 xml:space="preserve">Open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0D6F8FD5" w14:textId="77777777">
            <w:pPr>
              <w:widowControl w:val="0"/>
              <w:jc w:val="center"/>
              <w:rPr>
                <w:rFonts w:ascii="Roboto" w:hAnsi="Roboto" w:eastAsia="Roboto" w:cs="Roboto"/>
                <w:sz w:val="20"/>
                <w:szCs w:val="20"/>
              </w:rPr>
            </w:pPr>
          </w:p>
        </w:tc>
      </w:tr>
      <w:tr w:rsidR="00443CC9" w:rsidTr="0479F9EF" w14:paraId="1692433A"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373D2AFC"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40A6E156" w14:textId="77777777">
            <w:pPr>
              <w:widowControl w:val="0"/>
              <w:spacing w:line="240" w:lineRule="auto"/>
              <w:jc w:val="center"/>
              <w:rPr>
                <w:color w:val="999999"/>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5D1F6746"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18C9C9C4"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Group</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104E15CF"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 xml:space="preserve">Services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1EA7631E" w14:textId="77777777">
            <w:pPr>
              <w:widowControl w:val="0"/>
              <w:jc w:val="center"/>
              <w:rPr>
                <w:rFonts w:ascii="Roboto" w:hAnsi="Roboto" w:eastAsia="Roboto" w:cs="Roboto"/>
                <w:sz w:val="20"/>
                <w:szCs w:val="20"/>
              </w:rPr>
            </w:pPr>
          </w:p>
        </w:tc>
      </w:tr>
      <w:tr w:rsidR="00443CC9" w:rsidTr="0479F9EF" w14:paraId="53F19C9C"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0429CCEF"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52A79D87"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0353206F"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270FF461"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Aggregation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2A1EED9B"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Services,</w:t>
            </w:r>
          </w:p>
          <w:p w:rsidR="00443CC9" w:rsidRDefault="00B83056" w14:paraId="7F8E1EE8"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by industry,</w:t>
            </w:r>
          </w:p>
          <w:p w:rsidR="00443CC9" w:rsidRDefault="00B83056" w14:paraId="0A44B50D"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by smaller geography,</w:t>
            </w:r>
          </w:p>
          <w:p w:rsidR="00443CC9" w:rsidRDefault="00B83056" w14:paraId="08E2767D"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by destination (EU/non-EU)</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72E846D0" w14:textId="77777777">
            <w:pPr>
              <w:widowControl w:val="0"/>
              <w:jc w:val="center"/>
              <w:rPr>
                <w:rFonts w:ascii="Roboto" w:hAnsi="Roboto" w:eastAsia="Roboto" w:cs="Roboto"/>
                <w:sz w:val="20"/>
                <w:szCs w:val="20"/>
              </w:rPr>
            </w:pPr>
          </w:p>
        </w:tc>
      </w:tr>
      <w:tr w:rsidR="00443CC9" w:rsidTr="0479F9EF" w14:paraId="309DB1B8"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77120108"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08BE937C"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122CAE07"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571CFBF0"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Classification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0DFA0546"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SIC 2007</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4BA91529" w14:textId="77777777">
            <w:pPr>
              <w:widowControl w:val="0"/>
              <w:jc w:val="center"/>
              <w:rPr>
                <w:rFonts w:ascii="Roboto" w:hAnsi="Roboto" w:eastAsia="Roboto" w:cs="Roboto"/>
                <w:sz w:val="20"/>
                <w:szCs w:val="20"/>
              </w:rPr>
            </w:pPr>
          </w:p>
        </w:tc>
      </w:tr>
      <w:tr w:rsidR="00443CC9" w:rsidTr="0479F9EF" w14:paraId="4221D343" w14:textId="77777777">
        <w:trPr>
          <w:trHeight w:val="6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2CB7A1EF"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1BCC093F"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443CC9" w:rsidRDefault="00443CC9" w14:paraId="7D8B6AEF"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689243BD"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Reporting Unit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443CC9" w:rsidRDefault="00B83056" w14:paraId="4E3D9FAC" w14:textId="77777777">
            <w:pPr>
              <w:widowControl w:val="0"/>
              <w:spacing w:line="240" w:lineRule="auto"/>
              <w:jc w:val="center"/>
              <w:rPr>
                <w:rFonts w:ascii="Roboto" w:hAnsi="Roboto" w:eastAsia="Roboto" w:cs="Roboto"/>
                <w:sz w:val="20"/>
                <w:szCs w:val="20"/>
              </w:rPr>
            </w:pPr>
            <w:bookmarkStart w:name="_gjdgxs" w:colFirst="0" w:colLast="0" w:id="0"/>
            <w:bookmarkEnd w:id="0"/>
            <w:r>
              <w:rPr>
                <w:sz w:val="20"/>
                <w:szCs w:val="20"/>
              </w:rPr>
              <w:t>Value in current prices (£m)</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2D23668C" w14:textId="77777777">
            <w:pPr>
              <w:widowControl w:val="0"/>
              <w:rPr>
                <w:rFonts w:ascii="Roboto" w:hAnsi="Roboto" w:eastAsia="Roboto" w:cs="Roboto"/>
                <w:sz w:val="20"/>
                <w:szCs w:val="20"/>
              </w:rPr>
            </w:pPr>
          </w:p>
        </w:tc>
      </w:tr>
      <w:tr w:rsidR="00443CC9" w:rsidTr="0479F9EF" w14:paraId="598FDCEE"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26B29958"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2CB17CF1"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443CC9" w:rsidRDefault="00443CC9" w14:paraId="3012F754"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62A719D2"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Source</w:t>
            </w:r>
          </w:p>
        </w:tc>
        <w:tc>
          <w:tcPr>
            <w:tcW w:w="2730"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auto"/>
            <w:tcMar>
              <w:top w:w="0" w:type="dxa"/>
              <w:left w:w="40" w:type="dxa"/>
              <w:bottom w:w="0" w:type="dxa"/>
              <w:right w:w="40" w:type="dxa"/>
            </w:tcMar>
            <w:vAlign w:val="center"/>
          </w:tcPr>
          <w:p w:rsidR="00443CC9" w:rsidRDefault="00B83056" w14:paraId="3F9671FE"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Mix of admin and survey</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tcPr>
          <w:p w:rsidR="00443CC9" w:rsidRDefault="00443CC9" w14:paraId="099FFBE9" w14:textId="77777777">
            <w:pPr>
              <w:widowControl w:val="0"/>
              <w:rPr>
                <w:rFonts w:ascii="Roboto" w:hAnsi="Roboto" w:eastAsia="Roboto" w:cs="Roboto"/>
                <w:sz w:val="20"/>
                <w:szCs w:val="20"/>
              </w:rPr>
            </w:pPr>
          </w:p>
        </w:tc>
      </w:tr>
      <w:tr w:rsidR="00443CC9" w:rsidTr="0479F9EF" w14:paraId="49567F9C"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7F1B74A4" w14:textId="77777777">
            <w:pPr>
              <w:widowControl w:val="0"/>
              <w:rPr>
                <w:rFonts w:ascii="Roboto" w:hAnsi="Roboto" w:eastAsia="Roboto" w:cs="Roboto"/>
                <w:sz w:val="20"/>
                <w:szCs w:val="20"/>
              </w:rPr>
            </w:pPr>
          </w:p>
        </w:tc>
        <w:tc>
          <w:tcPr>
            <w:tcW w:w="265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5B56C424"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2AAF8FFE"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2C33C0DE"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587AC3F6"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78BCA0DC" w14:textId="77777777">
            <w:pPr>
              <w:widowControl w:val="0"/>
              <w:rPr>
                <w:rFonts w:ascii="Roboto" w:hAnsi="Roboto" w:eastAsia="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777418B8" w14:textId="77777777">
            <w:pPr>
              <w:widowControl w:val="0"/>
              <w:rPr>
                <w:rFonts w:ascii="Roboto" w:hAnsi="Roboto" w:eastAsia="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3BE55456"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67E14D11" w14:textId="77777777">
            <w:pPr>
              <w:widowControl w:val="0"/>
              <w:rPr>
                <w:rFonts w:ascii="Roboto" w:hAnsi="Roboto" w:eastAsia="Roboto" w:cs="Roboto"/>
                <w:sz w:val="20"/>
                <w:szCs w:val="20"/>
              </w:rPr>
            </w:pPr>
          </w:p>
        </w:tc>
      </w:tr>
      <w:tr w:rsidR="00443CC9" w:rsidTr="0479F9EF" w14:paraId="705D8C6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166A55DF"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443CC9" w:rsidRDefault="00B83056" w14:paraId="086D0975"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Recommended Usage</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5A107EE1" w14:textId="77777777">
            <w:pPr>
              <w:widowControl w:val="0"/>
              <w:rPr>
                <w:rFonts w:ascii="Roboto" w:hAnsi="Roboto" w:eastAsia="Roboto" w:cs="Roboto"/>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45E0727A"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4E948C02" w14:textId="77777777">
            <w:pPr>
              <w:widowControl w:val="0"/>
              <w:spacing w:line="240" w:lineRule="auto"/>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56" w:type="dxa"/>
              <w:left w:w="56" w:type="dxa"/>
              <w:bottom w:w="56" w:type="dxa"/>
              <w:right w:w="56" w:type="dxa"/>
            </w:tcMar>
            <w:vAlign w:val="center"/>
          </w:tcPr>
          <w:p w:rsidR="00443CC9" w:rsidRDefault="00B83056" w14:paraId="33CC12D3" w14:textId="7777777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36FB0A49"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57C65FFF" w14:textId="77777777">
            <w:pPr>
              <w:widowControl w:val="0"/>
              <w:rPr>
                <w:rFonts w:ascii="Roboto" w:hAnsi="Roboto" w:eastAsia="Roboto" w:cs="Roboto"/>
                <w:sz w:val="20"/>
                <w:szCs w:val="20"/>
              </w:rPr>
            </w:pPr>
          </w:p>
        </w:tc>
      </w:tr>
      <w:tr w:rsidR="00443CC9" w:rsidTr="0479F9EF" w14:paraId="63343629"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4FE14D26"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115987F2" w14:textId="77777777">
            <w:pPr>
              <w:widowControl w:val="0"/>
              <w:numPr>
                <w:ilvl w:val="0"/>
                <w:numId w:val="2"/>
              </w:numPr>
              <w:spacing w:line="240" w:lineRule="auto"/>
              <w:rPr>
                <w:sz w:val="20"/>
                <w:szCs w:val="20"/>
              </w:rPr>
            </w:pPr>
            <w:r>
              <w:rPr>
                <w:sz w:val="20"/>
                <w:szCs w:val="20"/>
              </w:rPr>
              <w:t xml:space="preserve">This is the only ONS output covering services trade at </w:t>
            </w:r>
            <w:r>
              <w:rPr>
                <w:sz w:val="20"/>
                <w:szCs w:val="20"/>
              </w:rPr>
              <w:lastRenderedPageBreak/>
              <w:t>the subnational level. Results are consistent with values in the UK Balance of Payments, shown in nominal (current price) terms.</w:t>
            </w:r>
          </w:p>
          <w:p w:rsidR="00443CC9" w:rsidRDefault="00B83056" w14:paraId="32C0F9ED" w14:textId="77777777">
            <w:pPr>
              <w:widowControl w:val="0"/>
              <w:numPr>
                <w:ilvl w:val="0"/>
                <w:numId w:val="2"/>
              </w:numPr>
              <w:spacing w:line="240" w:lineRule="auto"/>
              <w:rPr>
                <w:sz w:val="20"/>
                <w:szCs w:val="20"/>
              </w:rPr>
            </w:pPr>
            <w:r>
              <w:rPr>
                <w:sz w:val="20"/>
                <w:szCs w:val="20"/>
              </w:rPr>
              <w:t>Results are presented on an industry basis, not a product or commodity b</w:t>
            </w:r>
            <w:r>
              <w:rPr>
                <w:sz w:val="20"/>
                <w:szCs w:val="20"/>
              </w:rPr>
              <w:t>asis.</w:t>
            </w:r>
          </w:p>
          <w:p w:rsidR="00443CC9" w:rsidRDefault="00B83056" w14:paraId="3040B69D" w14:textId="77777777">
            <w:pPr>
              <w:widowControl w:val="0"/>
              <w:numPr>
                <w:ilvl w:val="0"/>
                <w:numId w:val="2"/>
              </w:numPr>
              <w:spacing w:line="240" w:lineRule="auto"/>
              <w:rPr>
                <w:sz w:val="20"/>
                <w:szCs w:val="20"/>
              </w:rPr>
            </w:pPr>
            <w:r>
              <w:rPr>
                <w:sz w:val="20"/>
                <w:szCs w:val="20"/>
              </w:rPr>
              <w:t>Data is presented on an annual (calendar year) basis so should not suffer from seasonality.</w:t>
            </w:r>
          </w:p>
          <w:p w:rsidR="00443CC9" w:rsidRDefault="00B83056" w14:paraId="3DAA83BF" w14:textId="77777777">
            <w:pPr>
              <w:widowControl w:val="0"/>
              <w:numPr>
                <w:ilvl w:val="0"/>
                <w:numId w:val="2"/>
              </w:numPr>
              <w:spacing w:line="240" w:lineRule="auto"/>
              <w:rPr>
                <w:sz w:val="20"/>
                <w:szCs w:val="20"/>
              </w:rPr>
            </w:pPr>
            <w:r>
              <w:rPr>
                <w:sz w:val="20"/>
                <w:szCs w:val="20"/>
              </w:rPr>
              <w:t>Caution should be used when comparing with HMRC’s goods statistics as they are produced using different methodologies, in particular noting that subnational s</w:t>
            </w:r>
            <w:r>
              <w:rPr>
                <w:sz w:val="20"/>
                <w:szCs w:val="20"/>
              </w:rPr>
              <w:t>ervices are constrained to match the UK Balance of Payments whereas subnational goods are not constrained.</w:t>
            </w:r>
          </w:p>
          <w:p w:rsidR="00443CC9" w:rsidRDefault="00B83056" w14:paraId="518D00A4" w14:textId="77777777">
            <w:pPr>
              <w:widowControl w:val="0"/>
              <w:numPr>
                <w:ilvl w:val="0"/>
                <w:numId w:val="2"/>
              </w:numPr>
              <w:spacing w:line="240" w:lineRule="auto"/>
              <w:rPr>
                <w:sz w:val="20"/>
                <w:szCs w:val="20"/>
              </w:rPr>
            </w:pPr>
            <w:r>
              <w:rPr>
                <w:sz w:val="20"/>
                <w:szCs w:val="20"/>
              </w:rPr>
              <w:t>These results are still experimental and are subject to change. Such change may be due to changes in source data, or changes in methodological approa</w:t>
            </w:r>
            <w:r>
              <w:rPr>
                <w:sz w:val="20"/>
                <w:szCs w:val="20"/>
              </w:rPr>
              <w:t>ch, as development work continues.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295E6DA5"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443CC9" w:rsidRDefault="00B83056" w14:paraId="26A11328"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department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443CC9" w:rsidRDefault="00B83056" w14:paraId="0C68B290"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2796E74D" w14:textId="77777777">
            <w:pPr>
              <w:widowControl w:val="0"/>
              <w:rPr>
                <w:rFonts w:ascii="Roboto" w:hAnsi="Roboto" w:eastAsia="Roboto" w:cs="Roboto"/>
                <w:sz w:val="20"/>
                <w:szCs w:val="20"/>
              </w:rPr>
            </w:pPr>
          </w:p>
        </w:tc>
      </w:tr>
      <w:tr w:rsidR="00443CC9" w:rsidTr="0479F9EF" w14:paraId="1E06C9AC"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650E9DC8"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7CC7E828"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1C2232F4" w14:textId="77777777">
            <w:pPr>
              <w:widowControl w:val="0"/>
              <w:spacing w:line="240" w:lineRule="auto"/>
              <w:rPr>
                <w:rFonts w:ascii="Roboto" w:hAnsi="Roboto" w:eastAsia="Roboto" w:cs="Roboto"/>
                <w:sz w:val="20"/>
                <w:szCs w:val="20"/>
              </w:rPr>
            </w:pPr>
          </w:p>
        </w:tc>
        <w:tc>
          <w:tcPr>
            <w:tcW w:w="178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443CC9" w:rsidRDefault="00B83056" w14:paraId="67098E2F"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individuals</w:t>
            </w:r>
          </w:p>
        </w:tc>
        <w:tc>
          <w:tcPr>
            <w:tcW w:w="2730"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443CC9" w:rsidRDefault="00B83056" w14:paraId="74A08F37" w14:textId="77777777">
            <w:pPr>
              <w:widowControl w:val="0"/>
              <w:spacing w:line="240" w:lineRule="auto"/>
              <w:jc w:val="center"/>
              <w:rPr>
                <w:b/>
                <w:sz w:val="20"/>
                <w:szCs w:val="20"/>
              </w:rPr>
            </w:pPr>
            <w:r>
              <w:rPr>
                <w:b/>
                <w:sz w:val="20"/>
                <w:szCs w:val="20"/>
              </w:rPr>
              <w:t>James P Harris</w:t>
            </w:r>
          </w:p>
          <w:p w:rsidR="00443CC9" w:rsidRDefault="00B83056" w14:paraId="4EA331A2" w14:textId="77777777">
            <w:pPr>
              <w:widowControl w:val="0"/>
              <w:spacing w:line="240" w:lineRule="auto"/>
              <w:jc w:val="center"/>
              <w:rPr>
                <w:sz w:val="20"/>
                <w:szCs w:val="20"/>
              </w:rPr>
            </w:pPr>
            <w:hyperlink r:id="rId11">
              <w:r>
                <w:rPr>
                  <w:sz w:val="20"/>
                  <w:szCs w:val="20"/>
                  <w:u w:val="single"/>
                </w:rPr>
                <w:t>james.p.harris@ons.gov.uk</w:t>
              </w:r>
            </w:hyperlink>
          </w:p>
          <w:p w:rsidR="00443CC9" w:rsidRDefault="00443CC9" w14:paraId="65B3E90B" w14:textId="77777777">
            <w:pPr>
              <w:widowControl w:val="0"/>
              <w:spacing w:line="240" w:lineRule="auto"/>
              <w:jc w:val="center"/>
              <w:rPr>
                <w:sz w:val="20"/>
                <w:szCs w:val="20"/>
              </w:rPr>
            </w:pPr>
          </w:p>
          <w:p w:rsidR="00443CC9" w:rsidRDefault="00B83056" w14:paraId="420038FE" w14:textId="77777777">
            <w:pPr>
              <w:widowControl w:val="0"/>
              <w:spacing w:line="240" w:lineRule="auto"/>
              <w:jc w:val="center"/>
              <w:rPr>
                <w:b/>
                <w:sz w:val="20"/>
                <w:szCs w:val="20"/>
              </w:rPr>
            </w:pPr>
            <w:r>
              <w:rPr>
                <w:b/>
                <w:sz w:val="20"/>
                <w:szCs w:val="20"/>
              </w:rPr>
              <w:t>ONS Cities Analysis team</w:t>
            </w:r>
          </w:p>
          <w:p w:rsidR="00443CC9" w:rsidRDefault="00B83056" w14:paraId="1D9734A1" w14:textId="77777777">
            <w:pPr>
              <w:widowControl w:val="0"/>
              <w:spacing w:line="240" w:lineRule="auto"/>
              <w:jc w:val="center"/>
              <w:rPr>
                <w:sz w:val="20"/>
                <w:szCs w:val="20"/>
              </w:rPr>
            </w:pPr>
            <w:hyperlink r:id="rId12">
              <w:r>
                <w:rPr>
                  <w:sz w:val="20"/>
                  <w:szCs w:val="20"/>
                  <w:u w:val="single"/>
                </w:rPr>
                <w:t>cities@ons.gov.uk</w:t>
              </w:r>
            </w:hyperlink>
            <w:r>
              <w:rPr>
                <w:sz w:val="20"/>
                <w:szCs w:val="20"/>
              </w:rPr>
              <w:t xml:space="preserve"> </w:t>
            </w:r>
          </w:p>
          <w:p w:rsidR="00443CC9" w:rsidRDefault="00443CC9" w14:paraId="4CCABB7C" w14:textId="77777777">
            <w:pPr>
              <w:widowControl w:val="0"/>
              <w:spacing w:line="240" w:lineRule="auto"/>
              <w:jc w:val="center"/>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18876A54" w14:textId="77777777">
            <w:pPr>
              <w:widowControl w:val="0"/>
              <w:rPr>
                <w:rFonts w:ascii="Roboto" w:hAnsi="Roboto" w:eastAsia="Roboto" w:cs="Roboto"/>
                <w:sz w:val="20"/>
                <w:szCs w:val="20"/>
              </w:rPr>
            </w:pPr>
          </w:p>
        </w:tc>
      </w:tr>
      <w:tr w:rsidR="00443CC9" w:rsidTr="0479F9EF" w14:paraId="7F8C5A9F" w14:textId="77777777">
        <w:trPr>
          <w:trHeight w:val="14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057384F5"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443CC9" w:rsidRDefault="00443CC9" w14:paraId="3BC06AB2"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5FC9F146" w14:textId="77777777">
            <w:pPr>
              <w:widowControl w:val="0"/>
              <w:spacing w:line="240" w:lineRule="auto"/>
              <w:rPr>
                <w:rFonts w:ascii="Roboto" w:hAnsi="Roboto" w:eastAsia="Roboto" w:cs="Roboto"/>
                <w:sz w:val="20"/>
                <w:szCs w:val="20"/>
              </w:rPr>
            </w:pPr>
          </w:p>
        </w:tc>
        <w:tc>
          <w:tcPr>
            <w:tcW w:w="1785" w:type="dxa"/>
            <w:vMerge/>
            <w:tcBorders/>
            <w:tcMar>
              <w:top w:w="0" w:type="dxa"/>
              <w:left w:w="40" w:type="dxa"/>
              <w:bottom w:w="0" w:type="dxa"/>
              <w:right w:w="40" w:type="dxa"/>
            </w:tcMar>
            <w:vAlign w:val="center"/>
          </w:tcPr>
          <w:p w:rsidR="00443CC9" w:rsidRDefault="00443CC9" w14:paraId="6139F6A0" w14:textId="77777777">
            <w:pPr>
              <w:widowControl w:val="0"/>
              <w:spacing w:line="240" w:lineRule="auto"/>
              <w:rPr>
                <w:rFonts w:ascii="Roboto" w:hAnsi="Roboto" w:eastAsia="Roboto" w:cs="Roboto"/>
                <w:sz w:val="20"/>
                <w:szCs w:val="20"/>
              </w:rPr>
            </w:pPr>
          </w:p>
        </w:tc>
        <w:tc>
          <w:tcPr>
            <w:tcW w:w="2730" w:type="dxa"/>
            <w:vMerge/>
            <w:tcBorders/>
            <w:tcMar>
              <w:top w:w="0" w:type="dxa"/>
              <w:left w:w="40" w:type="dxa"/>
              <w:bottom w:w="0" w:type="dxa"/>
              <w:right w:w="40" w:type="dxa"/>
            </w:tcMar>
            <w:vAlign w:val="center"/>
          </w:tcPr>
          <w:p w:rsidR="00443CC9" w:rsidRDefault="00443CC9" w14:paraId="07B73D0F"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1BAE0F44" w14:textId="77777777">
            <w:pPr>
              <w:widowControl w:val="0"/>
              <w:rPr>
                <w:rFonts w:ascii="Roboto" w:hAnsi="Roboto" w:eastAsia="Roboto" w:cs="Roboto"/>
                <w:sz w:val="20"/>
                <w:szCs w:val="20"/>
              </w:rPr>
            </w:pPr>
          </w:p>
        </w:tc>
      </w:tr>
      <w:tr w:rsidR="00443CC9" w:rsidTr="0479F9EF" w14:paraId="3C35EAF7"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467D8B6F"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595AFCF6" w14:textId="77777777">
            <w:pPr>
              <w:widowControl w:val="0"/>
              <w:spacing w:line="240" w:lineRule="auto"/>
              <w:rPr>
                <w:rFonts w:ascii="Roboto" w:hAnsi="Roboto" w:eastAsia="Roboto" w:cs="Roboto"/>
                <w:sz w:val="20"/>
                <w:szCs w:val="20"/>
              </w:rPr>
            </w:pPr>
          </w:p>
        </w:tc>
        <w:tc>
          <w:tcPr>
            <w:tcW w:w="9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12A748D4"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36A1B03A"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73F27849"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37FD72D8"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112B98B8"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508E92ED" w14:textId="77777777">
            <w:pPr>
              <w:widowControl w:val="0"/>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443CC9" w:rsidRDefault="00443CC9" w14:paraId="08A75DE6"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17CA0531" w14:textId="77777777">
            <w:pPr>
              <w:widowControl w:val="0"/>
              <w:rPr>
                <w:rFonts w:ascii="Roboto" w:hAnsi="Roboto" w:eastAsia="Roboto" w:cs="Roboto"/>
                <w:sz w:val="20"/>
                <w:szCs w:val="20"/>
              </w:rPr>
            </w:pPr>
          </w:p>
        </w:tc>
      </w:tr>
      <w:tr w:rsidR="00443CC9" w:rsidTr="0479F9EF" w14:paraId="731B7F9B"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443CC9" w:rsidRDefault="00443CC9" w14:paraId="7B83C81D"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443CC9" w:rsidRDefault="00B83056" w14:paraId="09A0FE32"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Quality Indicators</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004468CF" w14:textId="77777777">
            <w:pPr>
              <w:widowControl w:val="0"/>
              <w:jc w:val="center"/>
              <w:rPr>
                <w:rFonts w:ascii="Roboto" w:hAnsi="Roboto" w:eastAsia="Roboto" w:cs="Roboto"/>
                <w:b/>
                <w:color w:val="FFFFFF"/>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5B7579DB" w14:textId="77777777">
            <w:pPr>
              <w:widowControl w:val="0"/>
              <w:jc w:val="center"/>
              <w:rPr>
                <w:rFonts w:ascii="Roboto" w:hAnsi="Roboto" w:eastAsia="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44D0AA4A"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443CC9" w:rsidRDefault="00B83056" w14:paraId="1421B80B"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Related Datasets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443CC9" w:rsidRDefault="00443CC9" w14:paraId="6C9E4BB2"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0FCAD35E" w14:textId="77777777">
            <w:pPr>
              <w:widowControl w:val="0"/>
              <w:rPr>
                <w:rFonts w:ascii="Roboto" w:hAnsi="Roboto" w:eastAsia="Roboto" w:cs="Roboto"/>
                <w:sz w:val="20"/>
                <w:szCs w:val="20"/>
              </w:rPr>
            </w:pPr>
          </w:p>
        </w:tc>
      </w:tr>
      <w:tr w:rsidR="00443CC9" w:rsidTr="0479F9EF" w14:paraId="2B5FD44C"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00FB61F0"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443CC9" w:rsidRDefault="00B83056" w14:paraId="46E8D4C8"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Status</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443CC9" w:rsidRDefault="00B83056" w14:paraId="6D37D705" w14:textId="77777777">
            <w:pPr>
              <w:widowControl w:val="0"/>
              <w:spacing w:line="240" w:lineRule="auto"/>
              <w:jc w:val="center"/>
              <w:rPr>
                <w:rFonts w:ascii="Roboto" w:hAnsi="Roboto" w:eastAsia="Roboto" w:cs="Roboto"/>
                <w:b/>
                <w:sz w:val="20"/>
                <w:szCs w:val="20"/>
              </w:rPr>
            </w:pPr>
            <w:r>
              <w:rPr>
                <w:sz w:val="20"/>
                <w:szCs w:val="20"/>
              </w:rPr>
              <w:t>Experimental Statistics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1240C25F" w14:textId="77777777">
            <w:pPr>
              <w:widowControl w:val="0"/>
              <w:jc w:val="center"/>
              <w:rPr>
                <w:rFonts w:ascii="Roboto" w:hAnsi="Roboto" w:eastAsia="Roboto" w:cs="Roboto"/>
                <w:sz w:val="20"/>
                <w:szCs w:val="20"/>
              </w:rPr>
            </w:pPr>
          </w:p>
        </w:tc>
        <w:tc>
          <w:tcPr>
            <w:tcW w:w="4515" w:type="dxa"/>
            <w:gridSpan w:val="2"/>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443CC9" w:rsidRDefault="00B83056" w14:paraId="596D6B2F" w14:textId="77777777">
            <w:pPr>
              <w:widowControl w:val="0"/>
              <w:spacing w:line="240" w:lineRule="auto"/>
              <w:jc w:val="center"/>
              <w:rPr>
                <w:color w:val="0000FF"/>
                <w:sz w:val="20"/>
                <w:szCs w:val="20"/>
                <w:u w:val="single"/>
              </w:rPr>
            </w:pPr>
            <w:hyperlink r:id="rId13">
              <w:r>
                <w:rPr>
                  <w:color w:val="0000FF"/>
                  <w:sz w:val="20"/>
                  <w:szCs w:val="20"/>
                  <w:u w:val="single"/>
                </w:rPr>
                <w:t>UK Balance of Payments, The Pink Book: 2018</w:t>
              </w:r>
            </w:hyperlink>
          </w:p>
          <w:p w:rsidR="00443CC9" w:rsidRDefault="00443CC9" w14:paraId="55B5DE83" w14:textId="77777777">
            <w:pPr>
              <w:widowControl w:val="0"/>
              <w:spacing w:line="240" w:lineRule="auto"/>
              <w:jc w:val="center"/>
              <w:rPr>
                <w:color w:val="0000FF"/>
                <w:sz w:val="20"/>
                <w:szCs w:val="20"/>
                <w:u w:val="single"/>
              </w:rPr>
            </w:pPr>
          </w:p>
          <w:p w:rsidR="00443CC9" w:rsidRDefault="00B83056" w14:paraId="3D262BC5" w14:textId="77777777">
            <w:pPr>
              <w:widowControl w:val="0"/>
              <w:spacing w:line="240" w:lineRule="auto"/>
              <w:jc w:val="center"/>
              <w:rPr>
                <w:color w:val="0000FF"/>
                <w:sz w:val="20"/>
                <w:szCs w:val="20"/>
                <w:u w:val="single"/>
              </w:rPr>
            </w:pPr>
            <w:hyperlink r:id="rId14">
              <w:r>
                <w:rPr>
                  <w:color w:val="0000FF"/>
                  <w:sz w:val="20"/>
                  <w:szCs w:val="20"/>
                  <w:u w:val="single"/>
                </w:rPr>
                <w:t>HMRC Regional Trade (in goods) Statistics</w:t>
              </w:r>
            </w:hyperlink>
          </w:p>
          <w:p w:rsidR="00443CC9" w:rsidRDefault="00443CC9" w14:paraId="7C69F8C8" w14:textId="77777777">
            <w:pPr>
              <w:widowControl w:val="0"/>
              <w:spacing w:line="240" w:lineRule="auto"/>
              <w:jc w:val="center"/>
              <w:rPr>
                <w:color w:val="0000FF"/>
                <w:u w:val="single"/>
              </w:rPr>
            </w:pPr>
          </w:p>
          <w:p w:rsidR="00443CC9" w:rsidRDefault="00B83056" w14:paraId="087A1728" w14:textId="77777777">
            <w:pPr>
              <w:widowControl w:val="0"/>
              <w:spacing w:line="240" w:lineRule="auto"/>
              <w:jc w:val="center"/>
              <w:rPr>
                <w:color w:val="999999"/>
                <w:sz w:val="20"/>
                <w:szCs w:val="20"/>
              </w:rPr>
            </w:pPr>
            <w:hyperlink r:id="rId15">
              <w:r>
                <w:rPr>
                  <w:color w:val="0000FF"/>
                  <w:sz w:val="20"/>
                  <w:szCs w:val="20"/>
                  <w:u w:val="single"/>
                </w:rPr>
                <w:t>UK trade in services by industry, country and service type: 2016 to 2017</w:t>
              </w:r>
            </w:hyperlink>
            <w:r>
              <w:rPr>
                <w:color w:val="0000FF"/>
                <w:u w:val="single"/>
              </w:rPr>
              <w:t xml:space="preserve">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4ED70ECE" w14:textId="77777777">
            <w:pPr>
              <w:widowControl w:val="0"/>
              <w:rPr>
                <w:rFonts w:ascii="Roboto" w:hAnsi="Roboto" w:eastAsia="Roboto" w:cs="Roboto"/>
                <w:sz w:val="20"/>
                <w:szCs w:val="20"/>
              </w:rPr>
            </w:pPr>
          </w:p>
        </w:tc>
      </w:tr>
      <w:tr w:rsidR="00443CC9" w:rsidTr="0479F9EF" w14:paraId="1AD60103" w14:textId="77777777">
        <w:trPr>
          <w:trHeight w:val="132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16602AD3"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6AA84F"/>
            <w:tcMar>
              <w:top w:w="0" w:type="dxa"/>
              <w:left w:w="40" w:type="dxa"/>
              <w:bottom w:w="0" w:type="dxa"/>
              <w:right w:w="40" w:type="dxa"/>
            </w:tcMar>
            <w:vAlign w:val="center"/>
          </w:tcPr>
          <w:p w:rsidR="00443CC9" w:rsidRDefault="00B83056" w14:paraId="02579182"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Strengths +</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443CC9" w:rsidRDefault="00B83056" w14:paraId="7475EC2F" w14:textId="77777777">
            <w:pPr>
              <w:widowControl w:val="0"/>
              <w:spacing w:line="240" w:lineRule="auto"/>
              <w:jc w:val="center"/>
              <w:rPr>
                <w:sz w:val="20"/>
                <w:szCs w:val="20"/>
              </w:rPr>
            </w:pPr>
            <w:r>
              <w:rPr>
                <w:sz w:val="20"/>
                <w:szCs w:val="20"/>
              </w:rPr>
              <w:t>Only source of subnational service trade</w:t>
            </w:r>
          </w:p>
          <w:p w:rsidR="00443CC9" w:rsidRDefault="00B83056" w14:paraId="6AF2BD9C" w14:textId="77777777">
            <w:pPr>
              <w:widowControl w:val="0"/>
              <w:spacing w:line="240" w:lineRule="auto"/>
              <w:jc w:val="center"/>
              <w:rPr>
                <w:sz w:val="20"/>
                <w:szCs w:val="20"/>
              </w:rPr>
            </w:pPr>
            <w:r>
              <w:rPr>
                <w:sz w:val="20"/>
                <w:szCs w:val="20"/>
              </w:rPr>
              <w:t>Consistent with UK Balance of Payments</w:t>
            </w:r>
          </w:p>
          <w:p w:rsidR="00443CC9" w:rsidRDefault="00B83056" w14:paraId="7D610839" w14:textId="77777777">
            <w:pPr>
              <w:widowControl w:val="0"/>
              <w:spacing w:line="240" w:lineRule="auto"/>
              <w:jc w:val="center"/>
              <w:rPr>
                <w:sz w:val="20"/>
                <w:szCs w:val="20"/>
              </w:rPr>
            </w:pPr>
            <w:r>
              <w:rPr>
                <w:sz w:val="20"/>
                <w:szCs w:val="20"/>
              </w:rPr>
              <w:t>Includes EU/non-EU split</w:t>
            </w:r>
          </w:p>
          <w:p w:rsidR="00443CC9" w:rsidRDefault="00B83056" w14:paraId="0E856AF8" w14:textId="77777777">
            <w:pPr>
              <w:widowControl w:val="0"/>
              <w:spacing w:line="240" w:lineRule="auto"/>
              <w:jc w:val="center"/>
              <w:rPr>
                <w:sz w:val="20"/>
                <w:szCs w:val="20"/>
              </w:rPr>
            </w:pPr>
            <w:r>
              <w:rPr>
                <w:sz w:val="20"/>
                <w:szCs w:val="20"/>
              </w:rPr>
              <w:t>Calculated on an industry basis, so comparable with business and job statistics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443CC9" w:rsidRDefault="00443CC9" w14:paraId="2F65741A"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443CC9" w:rsidRDefault="00443CC9" w14:paraId="6223D246"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1346B68D" w14:textId="77777777">
            <w:pPr>
              <w:widowControl w:val="0"/>
              <w:rPr>
                <w:rFonts w:ascii="Roboto" w:hAnsi="Roboto" w:eastAsia="Roboto" w:cs="Roboto"/>
                <w:sz w:val="20"/>
                <w:szCs w:val="20"/>
              </w:rPr>
            </w:pPr>
          </w:p>
        </w:tc>
      </w:tr>
      <w:tr w:rsidR="00443CC9" w:rsidTr="0479F9EF" w14:paraId="3E046BD2" w14:textId="77777777">
        <w:trPr>
          <w:trHeight w:val="560"/>
        </w:trPr>
        <w:tc>
          <w:tcPr>
            <w:tcW w:w="258" w:type="dxa"/>
            <w:vMerge w:val="restart"/>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443CC9" w:rsidRDefault="00443CC9" w14:paraId="1EF19600" w14:textId="77777777">
            <w:pPr>
              <w:widowControl w:val="0"/>
              <w:rPr>
                <w:rFonts w:ascii="Roboto" w:hAnsi="Roboto" w:eastAsia="Roboto" w:cs="Roboto"/>
                <w:sz w:val="20"/>
                <w:szCs w:val="20"/>
              </w:rPr>
            </w:pPr>
          </w:p>
        </w:tc>
        <w:tc>
          <w:tcPr>
            <w:tcW w:w="172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E06666"/>
            <w:tcMar>
              <w:top w:w="0" w:type="dxa"/>
              <w:left w:w="40" w:type="dxa"/>
              <w:bottom w:w="0" w:type="dxa"/>
              <w:right w:w="40" w:type="dxa"/>
            </w:tcMar>
            <w:vAlign w:val="center"/>
          </w:tcPr>
          <w:p w:rsidR="00443CC9" w:rsidRDefault="00B83056" w14:paraId="35144389"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 xml:space="preserve">Weaknesses - </w:t>
            </w:r>
          </w:p>
        </w:tc>
        <w:tc>
          <w:tcPr>
            <w:tcW w:w="4095" w:type="dxa"/>
            <w:gridSpan w:val="4"/>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443CC9" w:rsidRDefault="00B83056" w14:paraId="656FA7D3" w14:textId="77777777">
            <w:pPr>
              <w:widowControl w:val="0"/>
              <w:spacing w:line="240" w:lineRule="auto"/>
              <w:jc w:val="center"/>
              <w:rPr>
                <w:sz w:val="20"/>
                <w:szCs w:val="20"/>
              </w:rPr>
            </w:pPr>
            <w:r>
              <w:rPr>
                <w:sz w:val="20"/>
                <w:szCs w:val="20"/>
              </w:rPr>
              <w:t>Long lag from reference period</w:t>
            </w:r>
          </w:p>
          <w:p w:rsidR="00443CC9" w:rsidRDefault="00B83056" w14:paraId="07862751" w14:textId="77777777">
            <w:pPr>
              <w:widowControl w:val="0"/>
              <w:spacing w:line="240" w:lineRule="auto"/>
              <w:jc w:val="center"/>
              <w:rPr>
                <w:sz w:val="20"/>
                <w:szCs w:val="20"/>
              </w:rPr>
            </w:pPr>
            <w:r>
              <w:rPr>
                <w:sz w:val="20"/>
                <w:szCs w:val="20"/>
              </w:rPr>
              <w:t>Reliability reduces with each successive breakdown</w:t>
            </w:r>
          </w:p>
          <w:p w:rsidR="00443CC9" w:rsidRDefault="00B83056" w14:paraId="409F03DA" w14:textId="77777777">
            <w:pPr>
              <w:widowControl w:val="0"/>
              <w:spacing w:line="240" w:lineRule="auto"/>
              <w:jc w:val="center"/>
              <w:rPr>
                <w:sz w:val="20"/>
                <w:szCs w:val="20"/>
              </w:rPr>
            </w:pPr>
            <w:r>
              <w:rPr>
                <w:sz w:val="20"/>
                <w:szCs w:val="20"/>
              </w:rPr>
              <w:t>Some broad assumptions have to be used due to lack of better sources</w:t>
            </w:r>
          </w:p>
          <w:p w:rsidR="00443CC9" w:rsidRDefault="00B83056" w14:paraId="2F63893B" w14:textId="77777777">
            <w:pPr>
              <w:widowControl w:val="0"/>
              <w:spacing w:line="240" w:lineRule="auto"/>
              <w:jc w:val="center"/>
              <w:rPr>
                <w:sz w:val="20"/>
                <w:szCs w:val="20"/>
              </w:rPr>
            </w:pPr>
            <w:r>
              <w:rPr>
                <w:sz w:val="20"/>
                <w:szCs w:val="20"/>
              </w:rPr>
              <w:t>Not fully comparable with goods statistics</w:t>
            </w:r>
          </w:p>
          <w:p w:rsidR="00443CC9" w:rsidRDefault="00B83056" w14:paraId="18945768" w14:textId="77777777">
            <w:pPr>
              <w:widowControl w:val="0"/>
              <w:spacing w:line="240" w:lineRule="auto"/>
              <w:jc w:val="center"/>
              <w:rPr>
                <w:sz w:val="20"/>
                <w:szCs w:val="20"/>
              </w:rPr>
            </w:pPr>
            <w:r>
              <w:rPr>
                <w:sz w:val="20"/>
                <w:szCs w:val="20"/>
              </w:rPr>
              <w:t>Cannot directly compare against outputs produced on a commodity basis</w:t>
            </w: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0DE9E263"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443CC9" w:rsidRDefault="00443CC9" w14:paraId="609EACE1" w14:textId="77777777">
            <w:pPr>
              <w:widowControl w:val="0"/>
              <w:spacing w:line="240" w:lineRule="auto"/>
              <w:rPr>
                <w:rFonts w:ascii="Roboto" w:hAnsi="Roboto" w:eastAsia="Roboto" w:cs="Roboto"/>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443CC9" w:rsidRDefault="00443CC9" w14:paraId="425B276E" w14:textId="77777777">
            <w:pPr>
              <w:widowControl w:val="0"/>
              <w:rPr>
                <w:rFonts w:ascii="Roboto" w:hAnsi="Roboto" w:eastAsia="Roboto" w:cs="Roboto"/>
                <w:sz w:val="20"/>
                <w:szCs w:val="20"/>
              </w:rPr>
            </w:pPr>
          </w:p>
        </w:tc>
      </w:tr>
      <w:tr w:rsidR="00443CC9" w:rsidTr="0479F9EF" w14:paraId="7668DED3" w14:textId="77777777">
        <w:trPr>
          <w:trHeight w:val="900"/>
        </w:trPr>
        <w:tc>
          <w:tcPr>
            <w:tcW w:w="258" w:type="dxa"/>
            <w:vMerge/>
            <w:tcBorders/>
            <w:tcMar>
              <w:top w:w="0" w:type="dxa"/>
              <w:left w:w="40" w:type="dxa"/>
              <w:bottom w:w="0" w:type="dxa"/>
              <w:right w:w="40" w:type="dxa"/>
            </w:tcMar>
            <w:vAlign w:val="bottom"/>
          </w:tcPr>
          <w:p w:rsidR="00443CC9" w:rsidRDefault="00443CC9" w14:paraId="4AA92E5B"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443CC9" w:rsidRDefault="00443CC9" w14:paraId="57643572"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443CC9" w:rsidRDefault="00443CC9" w14:paraId="3A632ED5"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443CC9" w:rsidRDefault="00443CC9" w14:paraId="0A0861BF"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443CC9" w:rsidRDefault="00443CC9" w14:paraId="7E9A90FC"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443CC9" w:rsidRDefault="00443CC9" w14:paraId="0AB90105" w14:textId="77777777">
            <w:pPr>
              <w:widowControl w:val="0"/>
              <w:spacing w:line="240" w:lineRule="auto"/>
              <w:rPr>
                <w:rFonts w:ascii="Roboto" w:hAnsi="Roboto" w:eastAsia="Roboto" w:cs="Roboto"/>
                <w:sz w:val="20"/>
                <w:szCs w:val="20"/>
              </w:rPr>
            </w:pPr>
          </w:p>
        </w:tc>
      </w:tr>
      <w:tr w:rsidR="00443CC9" w:rsidTr="0479F9EF" w14:paraId="733173B6" w14:textId="77777777">
        <w:trPr>
          <w:trHeight w:val="230"/>
        </w:trPr>
        <w:tc>
          <w:tcPr>
            <w:tcW w:w="258" w:type="dxa"/>
            <w:vMerge/>
            <w:tcBorders/>
            <w:tcMar>
              <w:top w:w="0" w:type="dxa"/>
              <w:left w:w="40" w:type="dxa"/>
              <w:bottom w:w="0" w:type="dxa"/>
              <w:right w:w="40" w:type="dxa"/>
            </w:tcMar>
            <w:vAlign w:val="bottom"/>
          </w:tcPr>
          <w:p w:rsidR="00443CC9" w:rsidRDefault="00443CC9" w14:paraId="303945D4"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443CC9" w:rsidRDefault="00443CC9" w14:paraId="2038B58D"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443CC9" w:rsidRDefault="00443CC9" w14:paraId="3A99AC67"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443CC9" w:rsidRDefault="00443CC9" w14:paraId="3477BE84"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443CC9" w:rsidRDefault="00443CC9" w14:paraId="70D49249"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443CC9" w:rsidRDefault="00443CC9" w14:paraId="25FCED89" w14:textId="77777777">
            <w:pPr>
              <w:widowControl w:val="0"/>
              <w:spacing w:line="240" w:lineRule="auto"/>
              <w:rPr>
                <w:rFonts w:ascii="Roboto" w:hAnsi="Roboto" w:eastAsia="Roboto" w:cs="Roboto"/>
                <w:sz w:val="20"/>
                <w:szCs w:val="20"/>
              </w:rPr>
            </w:pPr>
          </w:p>
        </w:tc>
      </w:tr>
      <w:tr w:rsidR="00443CC9" w:rsidTr="0479F9EF" w14:paraId="61462AFB" w14:textId="77777777">
        <w:trPr>
          <w:trHeight w:val="230"/>
        </w:trPr>
        <w:tc>
          <w:tcPr>
            <w:tcW w:w="258" w:type="dxa"/>
            <w:vMerge/>
            <w:tcBorders/>
            <w:tcMar>
              <w:top w:w="0" w:type="dxa"/>
              <w:left w:w="40" w:type="dxa"/>
              <w:bottom w:w="0" w:type="dxa"/>
              <w:right w:w="40" w:type="dxa"/>
            </w:tcMar>
            <w:vAlign w:val="bottom"/>
          </w:tcPr>
          <w:p w:rsidR="00443CC9" w:rsidRDefault="00443CC9" w14:paraId="4B31103E"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443CC9" w:rsidRDefault="00443CC9" w14:paraId="3448EF91"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443CC9" w:rsidRDefault="00443CC9" w14:paraId="6D1B6DBB"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443CC9" w:rsidRDefault="00443CC9" w14:paraId="504D99E4"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443CC9" w:rsidRDefault="00443CC9" w14:paraId="4C159C84"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443CC9" w:rsidRDefault="00443CC9" w14:paraId="742241E0" w14:textId="77777777">
            <w:pPr>
              <w:widowControl w:val="0"/>
              <w:spacing w:line="240" w:lineRule="auto"/>
              <w:rPr>
                <w:rFonts w:ascii="Roboto" w:hAnsi="Roboto" w:eastAsia="Roboto" w:cs="Roboto"/>
                <w:sz w:val="20"/>
                <w:szCs w:val="20"/>
              </w:rPr>
            </w:pPr>
          </w:p>
        </w:tc>
      </w:tr>
      <w:tr w:rsidR="00443CC9" w:rsidTr="0479F9EF" w14:paraId="0901D018"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5BEBBBB8" w14:textId="77777777">
            <w:pPr>
              <w:widowControl w:val="0"/>
              <w:jc w:val="center"/>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7D8D6831" w14:textId="77777777">
            <w:pPr>
              <w:widowControl w:val="0"/>
              <w:jc w:val="center"/>
              <w:rPr>
                <w:rFonts w:ascii="Roboto" w:hAnsi="Roboto" w:eastAsia="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443CC9" w:rsidRDefault="00443CC9" w14:paraId="34E324A6" w14:textId="77777777">
            <w:pPr>
              <w:widowControl w:val="0"/>
              <w:rPr>
                <w:rFonts w:ascii="Roboto" w:hAnsi="Roboto" w:eastAsia="Roboto" w:cs="Roboto"/>
                <w:sz w:val="20"/>
                <w:szCs w:val="20"/>
              </w:rPr>
            </w:pPr>
          </w:p>
        </w:tc>
      </w:tr>
    </w:tbl>
    <w:p w:rsidR="00443CC9" w:rsidRDefault="00443CC9" w14:paraId="2598EFC1" w14:textId="77777777">
      <w:pPr>
        <w:rPr>
          <w:rFonts w:ascii="Roboto" w:hAnsi="Roboto" w:eastAsia="Roboto" w:cs="Roboto"/>
        </w:rPr>
      </w:pPr>
    </w:p>
    <w:sectPr w:rsidR="00443CC9">
      <w:headerReference w:type="even" r:id="rId16"/>
      <w:headerReference w:type="default" r:id="rId17"/>
      <w:footerReference w:type="even" r:id="rId18"/>
      <w:footerReference w:type="default" r:id="rId19"/>
      <w:headerReference w:type="first" r:id="rId20"/>
      <w:footerReference w:type="first" r:id="rId21"/>
      <w:pgSz w:w="12240" w:h="15840" w:orient="portrait"/>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056" w:rsidRDefault="00B83056" w14:paraId="0DA35834" w14:textId="77777777">
      <w:pPr>
        <w:spacing w:line="240" w:lineRule="auto"/>
      </w:pPr>
      <w:r>
        <w:separator/>
      </w:r>
    </w:p>
  </w:endnote>
  <w:endnote w:type="continuationSeparator" w:id="0">
    <w:p w:rsidR="00B83056" w:rsidRDefault="00B83056" w14:paraId="6F621DD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434" w:rsidRDefault="009B5434" w14:paraId="313FFFB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434" w:rsidRDefault="009B5434" w14:paraId="2FB1FBE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434" w:rsidRDefault="009B5434" w14:paraId="623B10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056" w:rsidRDefault="00B83056" w14:paraId="1E21CFD8" w14:textId="77777777">
      <w:pPr>
        <w:spacing w:line="240" w:lineRule="auto"/>
      </w:pPr>
      <w:r>
        <w:separator/>
      </w:r>
    </w:p>
  </w:footnote>
  <w:footnote w:type="continuationSeparator" w:id="0">
    <w:p w:rsidR="00B83056" w:rsidRDefault="00B83056" w14:paraId="3B8E7CE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434" w:rsidRDefault="009B5434" w14:paraId="1E8A2FF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CC9" w:rsidRDefault="00443CC9" w14:paraId="097882C7" w14:textId="172B54EC">
    <w:pPr>
      <w:jc w:val="center"/>
      <w:rPr>
        <w:b/>
      </w:rPr>
    </w:pPr>
    <w:bookmarkStart w:name="_GoBack" w:id="1"/>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434" w:rsidRDefault="009B5434" w14:paraId="0C76CE2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6A5"/>
    <w:multiLevelType w:val="multilevel"/>
    <w:tmpl w:val="B7527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7BCD"/>
    <w:multiLevelType w:val="multilevel"/>
    <w:tmpl w:val="7A629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CC9"/>
    <w:rsid w:val="00443CC9"/>
    <w:rsid w:val="009B5434"/>
    <w:rsid w:val="00B83056"/>
    <w:rsid w:val="0479F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095E30"/>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B5434"/>
    <w:pPr>
      <w:tabs>
        <w:tab w:val="center" w:pos="4680"/>
        <w:tab w:val="right" w:pos="9360"/>
      </w:tabs>
      <w:spacing w:line="240" w:lineRule="auto"/>
    </w:pPr>
  </w:style>
  <w:style w:type="character" w:styleId="HeaderChar" w:customStyle="1">
    <w:name w:val="Header Char"/>
    <w:basedOn w:val="DefaultParagraphFont"/>
    <w:link w:val="Header"/>
    <w:uiPriority w:val="99"/>
    <w:rsid w:val="009B5434"/>
  </w:style>
  <w:style w:type="paragraph" w:styleId="Footer">
    <w:name w:val="footer"/>
    <w:basedOn w:val="Normal"/>
    <w:link w:val="FooterChar"/>
    <w:uiPriority w:val="99"/>
    <w:unhideWhenUsed/>
    <w:rsid w:val="009B5434"/>
    <w:pPr>
      <w:tabs>
        <w:tab w:val="center" w:pos="4680"/>
        <w:tab w:val="right" w:pos="9360"/>
      </w:tabs>
      <w:spacing w:line="240" w:lineRule="auto"/>
    </w:pPr>
  </w:style>
  <w:style w:type="character" w:styleId="FooterChar" w:customStyle="1">
    <w:name w:val="Footer Char"/>
    <w:basedOn w:val="DefaultParagraphFont"/>
    <w:link w:val="Footer"/>
    <w:uiPriority w:val="99"/>
    <w:rsid w:val="009B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www.ons.gov.uk/economy/nationalaccounts/balanceofpayments/bulletins/unitedkingdombalanceofpaymentsthepinkbook/2018" TargetMode="External" Id="rId13" /><Relationship Type="http://schemas.openxmlformats.org/officeDocument/2006/relationships/footer" Target="footer1.xml"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footer" Target="footer3.xml" Id="rId21" /><Relationship Type="http://schemas.openxmlformats.org/officeDocument/2006/relationships/image" Target="media/image1.png" Id="rId7" /><Relationship Type="http://schemas.openxmlformats.org/officeDocument/2006/relationships/hyperlink" Target="mailto:cities@ons.gov.uk" TargetMode="External" Id="rId12" /><Relationship Type="http://schemas.openxmlformats.org/officeDocument/2006/relationships/header" Target="header2.xml"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james.p.harris@ons.gov.uk" TargetMode="External"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hyperlink" Target="https://www.ons.gov.uk/economy/nationalaccounts/balanceofpayments/articles/uktradeinservicesbyindustrycountryandservicetype/2016to2017" TargetMode="External" Id="rId15" /><Relationship Type="http://schemas.openxmlformats.org/officeDocument/2006/relationships/theme" Target="theme/theme1.xml" Id="rId23" /><Relationship Type="http://schemas.openxmlformats.org/officeDocument/2006/relationships/hyperlink" Target="https://www.gov.uk/government/statistics/regional-trade-in-goods-statistics-dis-aggregated-by-smaller-geographical-areas-2017" TargetMode="External"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hyperlink" Target="https://www.ons.gov.uk/businessindustryandtrade/internationaltrade/articles/estimatingthevalueofserviceexportsabroadfromdifferentpartsoftheuk/2017" TargetMode="External" Id="rId9" /><Relationship Type="http://schemas.openxmlformats.org/officeDocument/2006/relationships/hyperlink" Target="https://www.gov.uk/government/collections/uk-overseas-trade-statistics-and-regional-trade-statistics" TargetMode="External" Id="rId14" /><Relationship Type="http://schemas.openxmlformats.org/officeDocument/2006/relationships/fontTable" Target="fontTable.xml" Id="rId22" /><Relationship Type="http://schemas.openxmlformats.org/officeDocument/2006/relationships/customXml" Target="../customXml/item4.xml" Id="rId27" /><Relationship Type="http://schemas.openxmlformats.org/officeDocument/2006/relationships/hyperlink" Target="https://www.ons.gov.uk/businessindustryandtrade/internationaltrade/articles/estimatingthevalueofserviceexportsabroadfromdifferentpartsoftheuk/previousReleases" TargetMode="External" Id="R4011e842b5b442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H6263HTYEWN5-2094533450-363496</_dlc_DocId>
    <Security_x0020_Classification xmlns="7fd9e60a-720a-478c-bf76-b460d35d354e">OFFICIAL</Security_x0020_Classification>
    <_dlc_DocIdUrl xmlns="7fd9e60a-720a-478c-bf76-b460d35d354e">
      <Url>https://dbis.sharepoint.com/sites/dit/103/_layouts/15/DocIdRedir.aspx?ID=H6263HTYEWN5-2094533450-363496</Url>
      <Description>H6263HTYEWN5-2094533450-363496</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2020-01-20T11:15:49+00:00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EFDDDE24-A3EF-4F8F-BCE9-4A46AD7BFB87}"/>
</file>

<file path=customXml/itemProps2.xml><?xml version="1.0" encoding="utf-8"?>
<ds:datastoreItem xmlns:ds="http://schemas.openxmlformats.org/officeDocument/2006/customXml" ds:itemID="{AA600AE8-3F9A-4279-AE2D-B8B367FFE9E6}"/>
</file>

<file path=customXml/itemProps3.xml><?xml version="1.0" encoding="utf-8"?>
<ds:datastoreItem xmlns:ds="http://schemas.openxmlformats.org/officeDocument/2006/customXml" ds:itemID="{D620AF58-48DD-4482-A811-EC79059169DC}"/>
</file>

<file path=customXml/itemProps4.xml><?xml version="1.0" encoding="utf-8"?>
<ds:datastoreItem xmlns:ds="http://schemas.openxmlformats.org/officeDocument/2006/customXml" ds:itemID="{19142274-AFE8-43F3-9707-4B507E5E44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Turner, Robert (Trade)</cp:lastModifiedBy>
  <cp:revision>3</cp:revision>
  <dcterms:created xsi:type="dcterms:W3CDTF">2020-01-17T13:10:00Z</dcterms:created>
  <dcterms:modified xsi:type="dcterms:W3CDTF">2020-02-25T10:10:24Z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9a2dad80-1e0d-498c-b167-680f17f81730</vt:lpwstr>
  </property>
</Properties>
</file>