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1E76EE" w:rsidRDefault="001E76EE" w14:paraId="03B535B5" w14:textId="77777777"/>
    <w:tbl>
      <w:tblPr>
        <w:tblStyle w:val="a0"/>
        <w:tblW w:w="11073" w:type="dxa"/>
        <w:tblBorders>
          <w:top w:val="nil"/>
          <w:left w:val="nil"/>
          <w:bottom w:val="nil"/>
          <w:right w:val="nil"/>
          <w:insideH w:val="nil"/>
          <w:insideV w:val="nil"/>
        </w:tblBorders>
        <w:tblLayout w:type="fixed"/>
        <w:tblLook w:val="0600" w:firstRow="0" w:lastRow="0" w:firstColumn="0" w:lastColumn="0" w:noHBand="1" w:noVBand="1"/>
      </w:tblPr>
      <w:tblGrid>
        <w:gridCol w:w="258"/>
        <w:gridCol w:w="1725"/>
        <w:gridCol w:w="930"/>
        <w:gridCol w:w="360"/>
        <w:gridCol w:w="2100"/>
        <w:gridCol w:w="705"/>
        <w:gridCol w:w="240"/>
        <w:gridCol w:w="1785"/>
        <w:gridCol w:w="2730"/>
        <w:gridCol w:w="240"/>
      </w:tblGrid>
      <w:tr w:rsidR="001E76EE" w:rsidTr="3FCDF590" w14:paraId="21D0B3ED" w14:textId="77777777">
        <w:trPr>
          <w:trHeight w:val="280"/>
        </w:trPr>
        <w:tc>
          <w:tcPr>
            <w:tcW w:w="258" w:type="dxa"/>
            <w:tcBorders>
              <w:top w:val="nil"/>
              <w:left w:val="nil"/>
              <w:bottom w:val="nil"/>
              <w:right w:val="nil"/>
            </w:tcBorders>
            <w:shd w:val="clear" w:color="auto" w:fill="073763"/>
            <w:tcMar>
              <w:top w:w="0" w:type="dxa"/>
              <w:left w:w="40" w:type="dxa"/>
              <w:bottom w:w="0" w:type="dxa"/>
              <w:right w:w="40" w:type="dxa"/>
            </w:tcMar>
            <w:vAlign w:val="center"/>
          </w:tcPr>
          <w:p w:rsidR="001E76EE" w:rsidRDefault="001E76EE" w14:paraId="59DA1E45" w14:textId="77777777">
            <w:pPr>
              <w:widowControl w:val="0"/>
              <w:rPr>
                <w:b/>
                <w:color w:val="FFFFFF"/>
                <w:sz w:val="20"/>
                <w:szCs w:val="20"/>
              </w:rPr>
            </w:pPr>
          </w:p>
        </w:tc>
        <w:tc>
          <w:tcPr>
            <w:tcW w:w="10575" w:type="dxa"/>
            <w:gridSpan w:val="8"/>
            <w:tcBorders>
              <w:top w:val="nil"/>
              <w:left w:val="nil"/>
              <w:bottom w:val="nil"/>
              <w:right w:val="nil"/>
            </w:tcBorders>
            <w:shd w:val="clear" w:color="auto" w:fill="073763"/>
            <w:tcMar>
              <w:top w:w="0" w:type="dxa"/>
              <w:left w:w="40" w:type="dxa"/>
              <w:bottom w:w="0" w:type="dxa"/>
              <w:right w:w="40" w:type="dxa"/>
            </w:tcMar>
            <w:vAlign w:val="center"/>
          </w:tcPr>
          <w:p w:rsidR="001E76EE" w:rsidRDefault="004828B5" w14:paraId="1FC81BC7" w14:textId="77777777">
            <w:pPr>
              <w:widowControl w:val="0"/>
              <w:jc w:val="center"/>
              <w:rPr>
                <w:i/>
                <w:color w:val="FFFFFF"/>
                <w:sz w:val="18"/>
                <w:szCs w:val="18"/>
              </w:rPr>
            </w:pPr>
            <w:r>
              <w:rPr>
                <w:i/>
                <w:color w:val="FFFFFF"/>
                <w:sz w:val="18"/>
                <w:szCs w:val="18"/>
              </w:rPr>
              <w:t>xWH EU Exit Data Strategy</w:t>
            </w:r>
          </w:p>
        </w:tc>
        <w:tc>
          <w:tcPr>
            <w:tcW w:w="240" w:type="dxa"/>
            <w:tcBorders>
              <w:top w:val="nil"/>
              <w:left w:val="nil"/>
              <w:bottom w:val="nil"/>
              <w:right w:val="nil"/>
            </w:tcBorders>
            <w:shd w:val="clear" w:color="auto" w:fill="073763"/>
            <w:tcMar>
              <w:top w:w="0" w:type="dxa"/>
              <w:left w:w="40" w:type="dxa"/>
              <w:bottom w:w="0" w:type="dxa"/>
              <w:right w:w="40" w:type="dxa"/>
            </w:tcMar>
            <w:vAlign w:val="center"/>
          </w:tcPr>
          <w:p w:rsidR="001E76EE" w:rsidRDefault="001E76EE" w14:paraId="5ADE6B8C" w14:textId="77777777">
            <w:pPr>
              <w:widowControl w:val="0"/>
              <w:rPr>
                <w:sz w:val="20"/>
                <w:szCs w:val="20"/>
              </w:rPr>
            </w:pPr>
          </w:p>
        </w:tc>
      </w:tr>
      <w:tr w:rsidR="001E76EE" w:rsidTr="3FCDF590" w14:paraId="60FB3D08" w14:textId="77777777">
        <w:tc>
          <w:tcPr>
            <w:tcW w:w="258" w:type="dxa"/>
            <w:tcBorders>
              <w:top w:val="nil"/>
              <w:left w:val="nil"/>
              <w:bottom w:val="nil"/>
              <w:right w:val="nil"/>
            </w:tcBorders>
            <w:shd w:val="clear" w:color="auto" w:fill="F3F3F3"/>
            <w:tcMar>
              <w:top w:w="0" w:type="dxa"/>
              <w:left w:w="0" w:type="dxa"/>
              <w:bottom w:w="0" w:type="dxa"/>
              <w:right w:w="0" w:type="dxa"/>
            </w:tcMar>
            <w:vAlign w:val="center"/>
          </w:tcPr>
          <w:p w:rsidR="001E76EE" w:rsidRDefault="001E76EE" w14:paraId="5E934B4F" w14:textId="77777777">
            <w:pPr>
              <w:widowControl w:val="0"/>
              <w:rPr>
                <w:sz w:val="16"/>
                <w:szCs w:val="16"/>
              </w:rPr>
            </w:pPr>
          </w:p>
        </w:tc>
        <w:tc>
          <w:tcPr>
            <w:tcW w:w="1725" w:type="dxa"/>
            <w:tcBorders>
              <w:top w:val="nil"/>
              <w:left w:val="nil"/>
              <w:bottom w:val="nil"/>
              <w:right w:val="nil"/>
            </w:tcBorders>
            <w:shd w:val="clear" w:color="auto" w:fill="F3F3F3"/>
            <w:tcMar>
              <w:top w:w="0" w:type="dxa"/>
              <w:left w:w="0" w:type="dxa"/>
              <w:bottom w:w="0" w:type="dxa"/>
              <w:right w:w="0" w:type="dxa"/>
            </w:tcMar>
            <w:vAlign w:val="center"/>
          </w:tcPr>
          <w:p w:rsidR="001E76EE" w:rsidRDefault="001E76EE" w14:paraId="53BD0917" w14:textId="77777777">
            <w:pPr>
              <w:widowControl w:val="0"/>
              <w:spacing w:line="240" w:lineRule="auto"/>
              <w:rPr>
                <w:sz w:val="16"/>
                <w:szCs w:val="16"/>
              </w:rPr>
            </w:pPr>
          </w:p>
        </w:tc>
        <w:tc>
          <w:tcPr>
            <w:tcW w:w="930" w:type="dxa"/>
            <w:tcBorders>
              <w:top w:val="nil"/>
              <w:left w:val="nil"/>
              <w:bottom w:val="nil"/>
              <w:right w:val="nil"/>
            </w:tcBorders>
            <w:shd w:val="clear" w:color="auto" w:fill="F3F3F3"/>
            <w:tcMar>
              <w:top w:w="0" w:type="dxa"/>
              <w:left w:w="0" w:type="dxa"/>
              <w:bottom w:w="0" w:type="dxa"/>
              <w:right w:w="0" w:type="dxa"/>
            </w:tcMar>
            <w:vAlign w:val="center"/>
          </w:tcPr>
          <w:p w:rsidR="001E76EE" w:rsidRDefault="001E76EE" w14:paraId="161286B5" w14:textId="77777777">
            <w:pPr>
              <w:widowControl w:val="0"/>
              <w:spacing w:line="240" w:lineRule="auto"/>
              <w:rPr>
                <w:sz w:val="16"/>
                <w:szCs w:val="16"/>
              </w:rPr>
            </w:pPr>
          </w:p>
        </w:tc>
        <w:tc>
          <w:tcPr>
            <w:tcW w:w="360" w:type="dxa"/>
            <w:tcBorders>
              <w:top w:val="nil"/>
              <w:left w:val="nil"/>
              <w:bottom w:val="nil"/>
              <w:right w:val="nil"/>
            </w:tcBorders>
            <w:shd w:val="clear" w:color="auto" w:fill="F3F3F3"/>
            <w:tcMar>
              <w:top w:w="0" w:type="dxa"/>
              <w:left w:w="0" w:type="dxa"/>
              <w:bottom w:w="0" w:type="dxa"/>
              <w:right w:w="0" w:type="dxa"/>
            </w:tcMar>
            <w:vAlign w:val="center"/>
          </w:tcPr>
          <w:p w:rsidR="001E76EE" w:rsidRDefault="001E76EE" w14:paraId="5FC68EF1" w14:textId="77777777">
            <w:pPr>
              <w:widowControl w:val="0"/>
              <w:spacing w:line="240" w:lineRule="auto"/>
              <w:rPr>
                <w:sz w:val="16"/>
                <w:szCs w:val="16"/>
              </w:rPr>
            </w:pPr>
          </w:p>
        </w:tc>
        <w:tc>
          <w:tcPr>
            <w:tcW w:w="210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1E76EE" w:rsidRDefault="001E76EE" w14:paraId="5F668E70" w14:textId="77777777">
            <w:pPr>
              <w:widowControl w:val="0"/>
              <w:spacing w:line="240" w:lineRule="auto"/>
              <w:jc w:val="center"/>
              <w:rPr>
                <w:b/>
                <w:sz w:val="16"/>
                <w:szCs w:val="16"/>
              </w:rPr>
            </w:pPr>
          </w:p>
        </w:tc>
        <w:tc>
          <w:tcPr>
            <w:tcW w:w="945" w:type="dxa"/>
            <w:gridSpan w:val="2"/>
            <w:tcBorders>
              <w:top w:val="nil"/>
              <w:left w:val="nil"/>
              <w:bottom w:val="single" w:color="D9D9D9" w:themeColor="background1" w:themeShade="D9" w:sz="4" w:space="0"/>
              <w:right w:val="nil"/>
            </w:tcBorders>
            <w:shd w:val="clear" w:color="auto" w:fill="F3F3F3"/>
            <w:tcMar>
              <w:top w:w="0" w:type="dxa"/>
              <w:left w:w="0" w:type="dxa"/>
              <w:bottom w:w="0" w:type="dxa"/>
              <w:right w:w="0" w:type="dxa"/>
            </w:tcMar>
          </w:tcPr>
          <w:p w:rsidR="001E76EE" w:rsidRDefault="001E76EE" w14:paraId="7C734530" w14:textId="77777777">
            <w:pPr>
              <w:widowControl w:val="0"/>
              <w:spacing w:line="240" w:lineRule="auto"/>
              <w:rPr>
                <w:color w:val="999999"/>
                <w:sz w:val="16"/>
                <w:szCs w:val="16"/>
              </w:rPr>
            </w:pPr>
          </w:p>
        </w:tc>
        <w:tc>
          <w:tcPr>
            <w:tcW w:w="1785"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1E76EE" w:rsidRDefault="001E76EE" w14:paraId="6D322EDB" w14:textId="77777777">
            <w:pPr>
              <w:widowControl w:val="0"/>
              <w:rPr>
                <w:sz w:val="16"/>
                <w:szCs w:val="16"/>
              </w:rPr>
            </w:pPr>
          </w:p>
        </w:tc>
        <w:tc>
          <w:tcPr>
            <w:tcW w:w="2730" w:type="dxa"/>
            <w:tcBorders>
              <w:top w:val="nil"/>
              <w:left w:val="nil"/>
              <w:bottom w:val="single" w:color="D9D9D9" w:themeColor="background1" w:themeShade="D9" w:sz="4" w:space="0"/>
              <w:right w:val="nil"/>
            </w:tcBorders>
            <w:shd w:val="clear" w:color="auto" w:fill="F3F3F3"/>
            <w:tcMar>
              <w:top w:w="0" w:type="dxa"/>
              <w:left w:w="0" w:type="dxa"/>
              <w:bottom w:w="0" w:type="dxa"/>
              <w:right w:w="0" w:type="dxa"/>
            </w:tcMar>
            <w:vAlign w:val="center"/>
          </w:tcPr>
          <w:p w:rsidR="001E76EE" w:rsidRDefault="001E76EE" w14:paraId="393C8178" w14:textId="77777777">
            <w:pPr>
              <w:widowControl w:val="0"/>
              <w:rPr>
                <w:sz w:val="16"/>
                <w:szCs w:val="16"/>
              </w:rPr>
            </w:pPr>
          </w:p>
        </w:tc>
        <w:tc>
          <w:tcPr>
            <w:tcW w:w="240" w:type="dxa"/>
            <w:tcBorders>
              <w:top w:val="nil"/>
              <w:left w:val="nil"/>
              <w:bottom w:val="nil"/>
              <w:right w:val="nil"/>
            </w:tcBorders>
            <w:shd w:val="clear" w:color="auto" w:fill="F3F3F3"/>
            <w:tcMar>
              <w:top w:w="0" w:type="dxa"/>
              <w:left w:w="0" w:type="dxa"/>
              <w:bottom w:w="0" w:type="dxa"/>
              <w:right w:w="0" w:type="dxa"/>
            </w:tcMar>
            <w:vAlign w:val="center"/>
          </w:tcPr>
          <w:p w:rsidR="001E76EE" w:rsidRDefault="001E76EE" w14:paraId="613FA073" w14:textId="77777777">
            <w:pPr>
              <w:widowControl w:val="0"/>
              <w:rPr>
                <w:sz w:val="16"/>
                <w:szCs w:val="16"/>
              </w:rPr>
            </w:pPr>
          </w:p>
        </w:tc>
      </w:tr>
      <w:tr w:rsidR="001E76EE" w:rsidTr="3FCDF590" w14:paraId="131FAAC8" w14:textId="77777777">
        <w:trPr>
          <w:trHeight w:val="48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4828B5" w14:paraId="21615345" w14:textId="77777777">
            <w:pPr>
              <w:widowControl w:val="0"/>
              <w:rPr>
                <w:sz w:val="20"/>
                <w:szCs w:val="20"/>
              </w:rPr>
            </w:pPr>
            <w:r>
              <w:rPr>
                <w:sz w:val="20"/>
                <w:szCs w:val="20"/>
              </w:rPr>
              <w:t xml:space="preserve">  </w:t>
            </w:r>
          </w:p>
        </w:tc>
        <w:tc>
          <w:tcPr>
            <w:tcW w:w="2655" w:type="dxa"/>
            <w:gridSpan w:val="2"/>
            <w:vMerge w:val="restart"/>
            <w:tcBorders>
              <w:top w:val="nil"/>
              <w:left w:val="nil"/>
              <w:bottom w:val="nil"/>
              <w:right w:val="nil"/>
            </w:tcBorders>
            <w:shd w:val="clear" w:color="auto" w:fill="F3F3F3"/>
            <w:tcMar>
              <w:top w:w="0" w:type="dxa"/>
              <w:left w:w="40" w:type="dxa"/>
              <w:bottom w:w="0" w:type="dxa"/>
              <w:right w:w="40" w:type="dxa"/>
            </w:tcMar>
            <w:vAlign w:val="center"/>
          </w:tcPr>
          <w:p w:rsidR="001E76EE" w:rsidRDefault="004828B5" w14:paraId="2DC43F1B" w14:textId="77777777">
            <w:pPr>
              <w:widowControl w:val="0"/>
              <w:spacing w:line="240" w:lineRule="auto"/>
              <w:rPr>
                <w:sz w:val="20"/>
                <w:szCs w:val="20"/>
              </w:rPr>
            </w:pPr>
            <w:r>
              <w:rPr>
                <w:noProof/>
                <w:sz w:val="20"/>
                <w:szCs w:val="20"/>
              </w:rPr>
              <w:drawing>
                <wp:inline distT="114300" distB="114300" distL="114300" distR="114300" wp14:anchorId="3E3B3D58" wp14:editId="01AD2FBD">
                  <wp:extent cx="1628775" cy="546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28775" cy="546100"/>
                          </a:xfrm>
                          <a:prstGeom prst="rect">
                            <a:avLst/>
                          </a:prstGeom>
                          <a:ln/>
                        </pic:spPr>
                      </pic:pic>
                    </a:graphicData>
                  </a:graphic>
                </wp:inline>
              </w:drawing>
            </w:r>
          </w:p>
          <w:p w:rsidR="001E76EE" w:rsidRDefault="001E76EE" w14:paraId="5CB5BBC2" w14:textId="77777777">
            <w:pPr>
              <w:widowControl w:val="0"/>
              <w:spacing w:line="240" w:lineRule="auto"/>
              <w:rPr>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42F0F039" w14:textId="77777777">
            <w:pPr>
              <w:widowControl w:val="0"/>
              <w:spacing w:line="240" w:lineRule="auto"/>
              <w:rPr>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1E76EE" w:rsidRDefault="004828B5" w14:paraId="303C8004" w14:textId="77777777">
            <w:pPr>
              <w:widowControl w:val="0"/>
              <w:spacing w:line="240" w:lineRule="auto"/>
              <w:jc w:val="center"/>
              <w:rPr>
                <w:b/>
                <w:color w:val="FFFFFF"/>
                <w:sz w:val="20"/>
                <w:szCs w:val="20"/>
              </w:rPr>
            </w:pPr>
            <w:r>
              <w:rPr>
                <w:b/>
                <w:color w:val="FFFFFF"/>
                <w:sz w:val="20"/>
                <w:szCs w:val="20"/>
              </w:rPr>
              <w:t>Title</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vAlign w:val="center"/>
          </w:tcPr>
          <w:p w:rsidR="001E76EE" w:rsidRDefault="004828B5" w14:paraId="1C07F3F8" w14:textId="77777777">
            <w:pPr>
              <w:widowControl w:val="0"/>
              <w:spacing w:line="240" w:lineRule="auto"/>
              <w:rPr>
                <w:sz w:val="20"/>
                <w:szCs w:val="20"/>
              </w:rPr>
            </w:pPr>
            <w:r>
              <w:rPr>
                <w:sz w:val="20"/>
                <w:szCs w:val="20"/>
              </w:rPr>
              <w:t>Exporters details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782734C0" w14:textId="77777777">
            <w:pPr>
              <w:widowControl w:val="0"/>
              <w:spacing w:line="240" w:lineRule="auto"/>
              <w:rPr>
                <w:sz w:val="20"/>
                <w:szCs w:val="20"/>
              </w:rPr>
            </w:pPr>
          </w:p>
        </w:tc>
      </w:tr>
      <w:tr w:rsidR="001E76EE" w:rsidTr="3FCDF590" w14:paraId="6ED15908" w14:textId="77777777">
        <w:trPr>
          <w:trHeight w:val="54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1E76EE" w:rsidRDefault="001E76EE" w14:paraId="40E7660A" w14:textId="77777777">
            <w:pPr>
              <w:widowControl w:val="0"/>
              <w:spacing w:line="240" w:lineRule="auto"/>
              <w:rPr>
                <w:sz w:val="20"/>
                <w:szCs w:val="20"/>
              </w:rPr>
            </w:pPr>
          </w:p>
        </w:tc>
        <w:tc>
          <w:tcPr>
            <w:tcW w:w="2655" w:type="dxa"/>
            <w:gridSpan w:val="2"/>
            <w:vMerge/>
            <w:tcBorders/>
            <w:tcMar>
              <w:top w:w="0" w:type="dxa"/>
              <w:left w:w="40" w:type="dxa"/>
              <w:bottom w:w="0" w:type="dxa"/>
              <w:right w:w="40" w:type="dxa"/>
            </w:tcMar>
            <w:vAlign w:val="center"/>
          </w:tcPr>
          <w:p w:rsidR="001E76EE" w:rsidRDefault="001E76EE" w14:paraId="08426DFF" w14:textId="77777777">
            <w:pPr>
              <w:widowControl w:val="0"/>
              <w:pBdr>
                <w:top w:val="nil"/>
                <w:left w:val="nil"/>
                <w:bottom w:val="nil"/>
                <w:right w:val="nil"/>
                <w:between w:val="nil"/>
              </w:pBdr>
              <w:rPr>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77827360" w14:textId="77777777">
            <w:pPr>
              <w:widowControl w:val="0"/>
              <w:spacing w:line="240" w:lineRule="auto"/>
              <w:rPr>
                <w:sz w:val="20"/>
                <w:szCs w:val="20"/>
              </w:rPr>
            </w:pPr>
          </w:p>
        </w:tc>
        <w:tc>
          <w:tcPr>
            <w:tcW w:w="2100" w:type="dxa"/>
            <w:tcBorders>
              <w:top w:val="single" w:color="D9D9D9" w:themeColor="background1" w:themeShade="D9" w:sz="4" w:space="0"/>
              <w:left w:val="nil"/>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1E76EE" w:rsidRDefault="004828B5" w14:paraId="62911C5D" w14:textId="77777777">
            <w:pPr>
              <w:widowControl w:val="0"/>
              <w:spacing w:line="240" w:lineRule="auto"/>
              <w:jc w:val="center"/>
              <w:rPr>
                <w:b/>
                <w:color w:val="FFFFFF"/>
                <w:sz w:val="20"/>
                <w:szCs w:val="20"/>
              </w:rPr>
            </w:pPr>
            <w:r>
              <w:rPr>
                <w:b/>
                <w:color w:val="FFFFFF"/>
                <w:sz w:val="20"/>
                <w:szCs w:val="20"/>
              </w:rPr>
              <w:t>Producer</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vAlign w:val="center"/>
          </w:tcPr>
          <w:p w:rsidR="001E76EE" w:rsidRDefault="004828B5" w14:paraId="73FA0A9A" w14:textId="77777777">
            <w:pPr>
              <w:widowControl w:val="0"/>
              <w:spacing w:line="240" w:lineRule="auto"/>
              <w:rPr>
                <w:sz w:val="20"/>
                <w:szCs w:val="20"/>
              </w:rPr>
            </w:pPr>
            <w:r>
              <w:rPr>
                <w:sz w:val="20"/>
                <w:szCs w:val="20"/>
              </w:rPr>
              <w:t>HMRC</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5A75A896" w14:textId="77777777">
            <w:pPr>
              <w:widowControl w:val="0"/>
              <w:spacing w:line="240" w:lineRule="auto"/>
              <w:rPr>
                <w:sz w:val="36"/>
                <w:szCs w:val="36"/>
              </w:rPr>
            </w:pPr>
          </w:p>
        </w:tc>
      </w:tr>
      <w:tr w:rsidR="001E76EE" w:rsidTr="3FCDF590" w14:paraId="43479C61" w14:textId="77777777">
        <w:trPr>
          <w:trHeight w:val="4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1E76EE" w:rsidRDefault="001E76EE" w14:paraId="7051803D" w14:textId="77777777">
            <w:pPr>
              <w:widowControl w:val="0"/>
              <w:rPr>
                <w:sz w:val="20"/>
                <w:szCs w:val="20"/>
              </w:rPr>
            </w:pPr>
          </w:p>
        </w:tc>
        <w:tc>
          <w:tcPr>
            <w:tcW w:w="2655" w:type="dxa"/>
            <w:gridSpan w:val="2"/>
            <w:vMerge/>
            <w:tcBorders/>
            <w:tcMar>
              <w:top w:w="0" w:type="dxa"/>
              <w:left w:w="40" w:type="dxa"/>
              <w:bottom w:w="0" w:type="dxa"/>
              <w:right w:w="40" w:type="dxa"/>
            </w:tcMar>
            <w:vAlign w:val="center"/>
          </w:tcPr>
          <w:p w:rsidR="001E76EE" w:rsidRDefault="001E76EE" w14:paraId="01B19994" w14:textId="77777777">
            <w:pPr>
              <w:widowControl w:val="0"/>
              <w:pBdr>
                <w:top w:val="nil"/>
                <w:left w:val="nil"/>
                <w:bottom w:val="nil"/>
                <w:right w:val="nil"/>
                <w:between w:val="nil"/>
              </w:pBdr>
              <w:rPr>
                <w:sz w:val="20"/>
                <w:szCs w:val="20"/>
              </w:rPr>
            </w:pPr>
          </w:p>
        </w:tc>
        <w:tc>
          <w:tcPr>
            <w:tcW w:w="360"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155D6828" w14:textId="77777777">
            <w:pPr>
              <w:widowControl w:val="0"/>
              <w:spacing w:line="240" w:lineRule="auto"/>
              <w:rPr>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1E76EE" w:rsidRDefault="004828B5" w14:paraId="3B719283" w14:textId="77777777">
            <w:pPr>
              <w:widowControl w:val="0"/>
              <w:spacing w:line="240" w:lineRule="auto"/>
              <w:jc w:val="center"/>
              <w:rPr>
                <w:b/>
                <w:color w:val="FFFFFF"/>
                <w:sz w:val="20"/>
                <w:szCs w:val="20"/>
              </w:rPr>
            </w:pPr>
            <w:r>
              <w:rPr>
                <w:b/>
                <w:color w:val="FFFFFF"/>
                <w:sz w:val="20"/>
                <w:szCs w:val="20"/>
              </w:rPr>
              <w:t>Category</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vAlign w:val="center"/>
          </w:tcPr>
          <w:p w:rsidR="001E76EE" w:rsidRDefault="004828B5" w14:paraId="0F0E7D1D" w14:textId="77777777">
            <w:pPr>
              <w:widowControl w:val="0"/>
              <w:spacing w:line="240" w:lineRule="auto"/>
              <w:rPr>
                <w:sz w:val="20"/>
                <w:szCs w:val="20"/>
              </w:rPr>
            </w:pPr>
            <w:r>
              <w:rPr>
                <w:sz w:val="20"/>
                <w:szCs w:val="20"/>
              </w:rPr>
              <w:t>Trade</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1E76EE" w:rsidRDefault="001E76EE" w14:paraId="39E28CFD" w14:textId="77777777">
            <w:pPr>
              <w:widowControl w:val="0"/>
              <w:spacing w:line="240" w:lineRule="auto"/>
              <w:rPr>
                <w:sz w:val="20"/>
                <w:szCs w:val="20"/>
              </w:rPr>
            </w:pPr>
          </w:p>
        </w:tc>
      </w:tr>
      <w:tr w:rsidR="001E76EE" w:rsidTr="3FCDF590" w14:paraId="675B229D" w14:textId="77777777">
        <w:trPr>
          <w:trHeight w:val="300"/>
        </w:trPr>
        <w:tc>
          <w:tcPr>
            <w:tcW w:w="258" w:type="dxa"/>
            <w:tcBorders>
              <w:top w:val="nil"/>
              <w:left w:val="nil"/>
              <w:bottom w:val="nil"/>
              <w:right w:val="dotted" w:color="FFFFFF" w:themeColor="background1" w:sz="12" w:space="0"/>
            </w:tcBorders>
            <w:shd w:val="clear" w:color="auto" w:fill="F3F3F3"/>
            <w:tcMar>
              <w:top w:w="0" w:type="dxa"/>
              <w:left w:w="40" w:type="dxa"/>
              <w:bottom w:w="0" w:type="dxa"/>
              <w:right w:w="40" w:type="dxa"/>
            </w:tcMar>
            <w:vAlign w:val="bottom"/>
          </w:tcPr>
          <w:p w:rsidR="001E76EE" w:rsidRDefault="001E76EE" w14:paraId="2D47003E" w14:textId="77777777">
            <w:pPr>
              <w:widowControl w:val="0"/>
              <w:rPr>
                <w:sz w:val="20"/>
                <w:szCs w:val="20"/>
              </w:rPr>
            </w:pPr>
          </w:p>
        </w:tc>
        <w:tc>
          <w:tcPr>
            <w:tcW w:w="2655" w:type="dxa"/>
            <w:gridSpan w:val="2"/>
            <w:tcBorders>
              <w:top w:val="dotted" w:color="FFFFFF" w:themeColor="background1" w:sz="12" w:space="0"/>
              <w:left w:val="dotted" w:color="FFFFFF" w:themeColor="background1" w:sz="12" w:space="0"/>
              <w:bottom w:val="dotted" w:color="FFFFFF" w:themeColor="background1" w:sz="12" w:space="0"/>
              <w:right w:val="dotted" w:color="FFFFFF" w:themeColor="background1" w:sz="12" w:space="0"/>
            </w:tcBorders>
            <w:shd w:val="clear" w:color="auto" w:fill="1F3864"/>
            <w:tcMar>
              <w:top w:w="0" w:type="dxa"/>
              <w:left w:w="40" w:type="dxa"/>
              <w:bottom w:w="0" w:type="dxa"/>
              <w:right w:w="40" w:type="dxa"/>
            </w:tcMar>
            <w:vAlign w:val="center"/>
          </w:tcPr>
          <w:p w:rsidR="001E76EE" w:rsidP="3FCDF590" w:rsidRDefault="004828B5" w14:paraId="17E11D8C" w14:textId="77777777">
            <w:pPr>
              <w:widowControl w:val="0"/>
              <w:spacing w:line="240" w:lineRule="auto"/>
              <w:jc w:val="center"/>
              <w:rPr>
                <w:b w:val="1"/>
                <w:bCs w:val="1"/>
                <w:i w:val="1"/>
                <w:iCs w:val="1"/>
                <w:color w:val="FFFFFF"/>
                <w:sz w:val="20"/>
                <w:szCs w:val="20"/>
                <w:u w:val="single"/>
              </w:rPr>
            </w:pPr>
            <w:hyperlink r:id="R428e895165a6447e">
              <w:r w:rsidRPr="3FCDF590" w:rsidR="3FCDF590">
                <w:rPr>
                  <w:b w:val="1"/>
                  <w:bCs w:val="1"/>
                  <w:color w:val="FFFFFF" w:themeColor="background1" w:themeTint="FF" w:themeShade="FF"/>
                  <w:sz w:val="20"/>
                  <w:szCs w:val="20"/>
                  <w:u w:val="single"/>
                </w:rPr>
                <w:t>LINK TO SOURCE</w:t>
              </w:r>
            </w:hyperlink>
          </w:p>
        </w:tc>
        <w:tc>
          <w:tcPr>
            <w:tcW w:w="360" w:type="dxa"/>
            <w:tcBorders>
              <w:top w:val="nil"/>
              <w:left w:val="dotted" w:color="FFFFFF" w:themeColor="background1" w:sz="12"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3237413A" w14:textId="77777777">
            <w:pPr>
              <w:widowControl w:val="0"/>
              <w:spacing w:line="240" w:lineRule="auto"/>
              <w:rPr>
                <w:sz w:val="20"/>
                <w:szCs w:val="20"/>
              </w:rPr>
            </w:pPr>
          </w:p>
        </w:tc>
        <w:tc>
          <w:tcPr>
            <w:tcW w:w="210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73763"/>
            <w:tcMar>
              <w:top w:w="100" w:type="dxa"/>
              <w:left w:w="100" w:type="dxa"/>
              <w:bottom w:w="100" w:type="dxa"/>
              <w:right w:w="100" w:type="dxa"/>
            </w:tcMar>
            <w:vAlign w:val="center"/>
          </w:tcPr>
          <w:p w:rsidR="001E76EE" w:rsidRDefault="004828B5" w14:paraId="0CCE1ED9" w14:textId="77777777">
            <w:pPr>
              <w:widowControl w:val="0"/>
              <w:spacing w:line="240" w:lineRule="auto"/>
              <w:jc w:val="center"/>
              <w:rPr>
                <w:i/>
                <w:color w:val="666666"/>
                <w:sz w:val="20"/>
                <w:szCs w:val="20"/>
              </w:rPr>
            </w:pPr>
            <w:r>
              <w:rPr>
                <w:b/>
                <w:color w:val="FFFFFF"/>
                <w:sz w:val="20"/>
                <w:szCs w:val="20"/>
              </w:rPr>
              <w:t xml:space="preserve">Frequency </w:t>
            </w:r>
            <w:r>
              <w:rPr>
                <w:i/>
                <w:color w:val="666666"/>
                <w:sz w:val="20"/>
                <w:szCs w:val="20"/>
              </w:rPr>
              <w:t>(+lag)</w:t>
            </w:r>
          </w:p>
        </w:tc>
        <w:tc>
          <w:tcPr>
            <w:tcW w:w="5460"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100" w:type="dxa"/>
              <w:left w:w="100" w:type="dxa"/>
              <w:bottom w:w="100" w:type="dxa"/>
              <w:right w:w="100" w:type="dxa"/>
            </w:tcMar>
            <w:vAlign w:val="center"/>
          </w:tcPr>
          <w:p w:rsidR="001E76EE" w:rsidRDefault="004828B5" w14:paraId="5A8216F7" w14:textId="77777777">
            <w:pPr>
              <w:widowControl w:val="0"/>
              <w:spacing w:line="240" w:lineRule="auto"/>
              <w:rPr>
                <w:sz w:val="20"/>
                <w:szCs w:val="20"/>
              </w:rPr>
            </w:pPr>
            <w:r>
              <w:rPr>
                <w:sz w:val="20"/>
                <w:szCs w:val="20"/>
              </w:rPr>
              <w:t>Monthly – One month lag</w:t>
            </w:r>
          </w:p>
        </w:tc>
        <w:tc>
          <w:tcPr>
            <w:tcW w:w="240" w:type="dxa"/>
            <w:tcBorders>
              <w:top w:val="nil"/>
              <w:left w:val="single" w:color="D9D9D9" w:themeColor="background1" w:themeShade="D9" w:sz="4" w:space="0"/>
              <w:bottom w:val="nil"/>
              <w:right w:val="nil"/>
            </w:tcBorders>
            <w:shd w:val="clear" w:color="auto" w:fill="F3F3F3"/>
            <w:tcMar>
              <w:top w:w="100" w:type="dxa"/>
              <w:left w:w="100" w:type="dxa"/>
              <w:bottom w:w="100" w:type="dxa"/>
              <w:right w:w="100" w:type="dxa"/>
            </w:tcMar>
          </w:tcPr>
          <w:p w:rsidR="001E76EE" w:rsidRDefault="001E76EE" w14:paraId="4BB7DB0B" w14:textId="77777777">
            <w:pPr>
              <w:widowControl w:val="0"/>
              <w:spacing w:line="240" w:lineRule="auto"/>
              <w:rPr>
                <w:sz w:val="20"/>
                <w:szCs w:val="20"/>
              </w:rPr>
            </w:pPr>
          </w:p>
        </w:tc>
      </w:tr>
      <w:tr w:rsidR="001E76EE" w:rsidTr="3FCDF590" w14:paraId="4E2A9594" w14:textId="77777777">
        <w:trPr>
          <w:trHeight w:val="1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1E76EE" w:rsidRDefault="001E76EE" w14:paraId="2E4BD746" w14:textId="77777777">
            <w:pPr>
              <w:widowControl w:val="0"/>
              <w:rPr>
                <w:sz w:val="20"/>
                <w:szCs w:val="20"/>
              </w:rPr>
            </w:pPr>
          </w:p>
        </w:tc>
        <w:tc>
          <w:tcPr>
            <w:tcW w:w="1725"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1E76EE" w:rsidRDefault="001E76EE" w14:paraId="2E8E6409" w14:textId="77777777">
            <w:pPr>
              <w:widowControl w:val="0"/>
              <w:rPr>
                <w:sz w:val="20"/>
                <w:szCs w:val="20"/>
              </w:rPr>
            </w:pPr>
          </w:p>
        </w:tc>
        <w:tc>
          <w:tcPr>
            <w:tcW w:w="930" w:type="dxa"/>
            <w:tcBorders>
              <w:top w:val="dotted" w:color="FFFFFF" w:themeColor="background1" w:sz="12" w:space="0"/>
              <w:left w:val="nil"/>
              <w:bottom w:val="nil"/>
              <w:right w:val="nil"/>
            </w:tcBorders>
            <w:shd w:val="clear" w:color="auto" w:fill="F3F3F3"/>
            <w:tcMar>
              <w:top w:w="0" w:type="dxa"/>
              <w:left w:w="40" w:type="dxa"/>
              <w:bottom w:w="0" w:type="dxa"/>
              <w:right w:w="40" w:type="dxa"/>
            </w:tcMar>
            <w:vAlign w:val="center"/>
          </w:tcPr>
          <w:p w:rsidR="001E76EE" w:rsidRDefault="001E76EE" w14:paraId="27A06B50" w14:textId="77777777">
            <w:pPr>
              <w:widowControl w:val="0"/>
              <w:rPr>
                <w:sz w:val="20"/>
                <w:szCs w:val="20"/>
              </w:rPr>
            </w:pPr>
          </w:p>
        </w:tc>
        <w:tc>
          <w:tcPr>
            <w:tcW w:w="36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50419ED3" w14:textId="77777777">
            <w:pPr>
              <w:widowControl w:val="0"/>
              <w:rPr>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0076D86D" w14:textId="77777777">
            <w:pPr>
              <w:widowControl w:val="0"/>
              <w:rPr>
                <w:sz w:val="20"/>
                <w:szCs w:val="20"/>
              </w:rPr>
            </w:pPr>
          </w:p>
        </w:tc>
        <w:tc>
          <w:tcPr>
            <w:tcW w:w="94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6A5983EB" w14:textId="77777777">
            <w:pPr>
              <w:widowControl w:val="0"/>
              <w:rPr>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0726C2AA" w14:textId="77777777">
            <w:pPr>
              <w:widowControl w:val="0"/>
              <w:jc w:val="center"/>
              <w:rPr>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7506AF19" w14:textId="77777777">
            <w:pPr>
              <w:widowControl w:val="0"/>
              <w:jc w:val="center"/>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1C784CE4" w14:textId="77777777">
            <w:pPr>
              <w:widowControl w:val="0"/>
              <w:jc w:val="center"/>
              <w:rPr>
                <w:sz w:val="20"/>
                <w:szCs w:val="20"/>
              </w:rPr>
            </w:pPr>
          </w:p>
        </w:tc>
      </w:tr>
      <w:tr w:rsidR="001E76EE" w:rsidTr="3FCDF590" w14:paraId="09283DE4"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1E76EE" w:rsidRDefault="001E76EE" w14:paraId="52B924EF" w14:textId="77777777">
            <w:pPr>
              <w:widowControl w:val="0"/>
              <w:rPr>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1E76EE" w:rsidRDefault="004828B5" w14:paraId="23CABA52" w14:textId="77777777">
            <w:pPr>
              <w:widowControl w:val="0"/>
              <w:jc w:val="center"/>
              <w:rPr>
                <w:b/>
                <w:color w:val="FFFFFF"/>
                <w:sz w:val="20"/>
                <w:szCs w:val="20"/>
              </w:rPr>
            </w:pPr>
            <w:r>
              <w:rPr>
                <w:b/>
                <w:color w:val="FFFFFF"/>
                <w:sz w:val="20"/>
                <w:szCs w:val="20"/>
              </w:rPr>
              <w:t>Description</w:t>
            </w:r>
          </w:p>
        </w:tc>
        <w:tc>
          <w:tcPr>
            <w:tcW w:w="2805" w:type="dxa"/>
            <w:gridSpan w:val="2"/>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1E76EE" w:rsidRDefault="001E76EE" w14:paraId="335A98EF" w14:textId="77777777">
            <w:pPr>
              <w:widowControl w:val="0"/>
              <w:jc w:val="center"/>
              <w:rPr>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35A9C4B1" w14:textId="77777777">
            <w:pPr>
              <w:widowControl w:val="0"/>
              <w:rPr>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1E76EE" w:rsidRDefault="004828B5" w14:paraId="4CEB9929" w14:textId="77777777">
            <w:pPr>
              <w:widowControl w:val="0"/>
              <w:jc w:val="center"/>
              <w:rPr>
                <w:b/>
                <w:color w:val="FFFFFF"/>
                <w:sz w:val="20"/>
                <w:szCs w:val="20"/>
              </w:rPr>
            </w:pPr>
            <w:r>
              <w:rPr>
                <w:b/>
                <w:color w:val="FFFFFF"/>
                <w:sz w:val="20"/>
                <w:szCs w:val="20"/>
              </w:rPr>
              <w:t>Key Info</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1E76EE" w:rsidRDefault="001E76EE" w14:paraId="055F9217" w14:textId="77777777">
            <w:pPr>
              <w:widowControl w:val="0"/>
              <w:jc w:val="center"/>
              <w:rPr>
                <w:b/>
                <w:i/>
                <w:color w:val="FFFFFF"/>
                <w:sz w:val="20"/>
                <w:szCs w:val="20"/>
                <w:u w:val="single"/>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3E7427D0" w14:textId="77777777">
            <w:pPr>
              <w:widowControl w:val="0"/>
              <w:rPr>
                <w:sz w:val="20"/>
                <w:szCs w:val="20"/>
              </w:rPr>
            </w:pPr>
          </w:p>
        </w:tc>
      </w:tr>
      <w:tr w:rsidR="001E76EE" w:rsidTr="3FCDF590" w14:paraId="5E3F880A"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67DB19CF" w14:textId="77777777">
            <w:pPr>
              <w:widowControl w:val="0"/>
              <w:rPr>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1E76EE" w:rsidRDefault="004828B5" w14:paraId="5B7A0D10" w14:textId="77777777">
            <w:pPr>
              <w:spacing w:before="150" w:after="150"/>
              <w:rPr>
                <w:sz w:val="20"/>
                <w:szCs w:val="20"/>
              </w:rPr>
            </w:pPr>
            <w:r>
              <w:rPr>
                <w:sz w:val="20"/>
                <w:szCs w:val="20"/>
              </w:rPr>
              <w:t xml:space="preserve">HMRC releases monthly information about UK exporters. </w:t>
            </w:r>
          </w:p>
          <w:p w:rsidR="001E76EE" w:rsidRDefault="004828B5" w14:paraId="74540A1B" w14:textId="77777777">
            <w:pPr>
              <w:spacing w:before="150" w:after="150"/>
              <w:rPr>
                <w:sz w:val="20"/>
                <w:szCs w:val="20"/>
              </w:rPr>
            </w:pPr>
            <w:r>
              <w:rPr>
                <w:sz w:val="20"/>
                <w:szCs w:val="20"/>
              </w:rPr>
              <w:t>Publishing accurate, reliable information about UK exporters and their products has a number of benefits, including:</w:t>
            </w:r>
          </w:p>
          <w:p w:rsidR="001E76EE" w:rsidRDefault="004828B5" w14:paraId="5714B235" w14:textId="77777777">
            <w:pPr>
              <w:numPr>
                <w:ilvl w:val="0"/>
                <w:numId w:val="2"/>
              </w:numPr>
              <w:spacing w:before="280"/>
              <w:rPr>
                <w:sz w:val="20"/>
                <w:szCs w:val="20"/>
              </w:rPr>
            </w:pPr>
            <w:r>
              <w:rPr>
                <w:sz w:val="20"/>
                <w:szCs w:val="20"/>
              </w:rPr>
              <w:t>Providing greater visibility of UK exporters to potential customers in the global market place</w:t>
            </w:r>
          </w:p>
          <w:p w:rsidR="001E76EE" w:rsidRDefault="004828B5" w14:paraId="50057398" w14:textId="77777777">
            <w:pPr>
              <w:numPr>
                <w:ilvl w:val="0"/>
                <w:numId w:val="2"/>
              </w:numPr>
              <w:rPr>
                <w:sz w:val="20"/>
                <w:szCs w:val="20"/>
              </w:rPr>
            </w:pPr>
            <w:r>
              <w:rPr>
                <w:sz w:val="20"/>
                <w:szCs w:val="20"/>
              </w:rPr>
              <w:t>Assisting developers to create exporter registers and online shop fronts to advertise and showcase UK exporters and their products</w:t>
            </w:r>
          </w:p>
          <w:p w:rsidR="001E76EE" w:rsidRDefault="004828B5" w14:paraId="7C306DF9" w14:textId="77777777">
            <w:pPr>
              <w:numPr>
                <w:ilvl w:val="0"/>
                <w:numId w:val="2"/>
              </w:numPr>
              <w:ind w:left="714" w:hanging="357"/>
              <w:rPr>
                <w:sz w:val="20"/>
                <w:szCs w:val="20"/>
              </w:rPr>
            </w:pPr>
            <w:r>
              <w:rPr>
                <w:sz w:val="20"/>
                <w:szCs w:val="20"/>
              </w:rPr>
              <w:t>Enabling those who are part of</w:t>
            </w:r>
            <w:r>
              <w:rPr>
                <w:sz w:val="20"/>
                <w:szCs w:val="20"/>
              </w:rPr>
              <w:t xml:space="preserve"> the export supply chain, such as logistics or transportation companies, to identify potential customers more easily</w:t>
            </w:r>
          </w:p>
          <w:p w:rsidR="001E76EE" w:rsidRDefault="004828B5" w14:paraId="68F7EEE7" w14:textId="77777777">
            <w:pPr>
              <w:numPr>
                <w:ilvl w:val="0"/>
                <w:numId w:val="2"/>
              </w:numPr>
              <w:ind w:left="714" w:hanging="357"/>
              <w:rPr>
                <w:sz w:val="20"/>
                <w:szCs w:val="20"/>
              </w:rPr>
            </w:pPr>
            <w:r>
              <w:rPr>
                <w:sz w:val="20"/>
                <w:szCs w:val="20"/>
              </w:rPr>
              <w:t>Helping importers to locate alternative UK suppliers</w:t>
            </w:r>
          </w:p>
          <w:p w:rsidR="001E76EE" w:rsidRDefault="001E76EE" w14:paraId="0A950118" w14:textId="77777777">
            <w:pPr>
              <w:ind w:left="714"/>
              <w:rPr>
                <w:sz w:val="20"/>
                <w:szCs w:val="20"/>
              </w:rPr>
            </w:pPr>
          </w:p>
          <w:p w:rsidR="001E76EE" w:rsidRDefault="004828B5" w14:paraId="11579BC9" w14:textId="77777777">
            <w:pPr>
              <w:widowControl w:val="0"/>
              <w:rPr>
                <w:sz w:val="20"/>
                <w:szCs w:val="20"/>
              </w:rPr>
            </w:pPr>
            <w:r>
              <w:rPr>
                <w:sz w:val="20"/>
                <w:szCs w:val="20"/>
              </w:rPr>
              <w:t>The information published consists of a list of traders (9-digit VRN) who carry out n</w:t>
            </w:r>
            <w:r>
              <w:rPr>
                <w:sz w:val="20"/>
                <w:szCs w:val="20"/>
              </w:rPr>
              <w:t>on-EU exports plus their address and CN8 commodity codes they trade in. It also includes the month and year in which the goods were exported.</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69002BFC"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1E76EE" w:rsidRDefault="004828B5" w14:paraId="46A444B4" w14:textId="77777777">
            <w:pPr>
              <w:widowControl w:val="0"/>
              <w:spacing w:line="240" w:lineRule="auto"/>
              <w:jc w:val="center"/>
              <w:rPr>
                <w:color w:val="FFFFFF"/>
                <w:sz w:val="20"/>
                <w:szCs w:val="20"/>
              </w:rPr>
            </w:pPr>
            <w:r>
              <w:rPr>
                <w:color w:val="FFFFFF"/>
                <w:sz w:val="20"/>
                <w:szCs w:val="20"/>
              </w:rPr>
              <w:t xml:space="preserve">Access </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1E76EE" w:rsidRDefault="004828B5" w14:paraId="26EC8549" w14:textId="77777777">
            <w:pPr>
              <w:jc w:val="center"/>
              <w:rPr>
                <w:sz w:val="20"/>
                <w:szCs w:val="20"/>
              </w:rPr>
            </w:pPr>
            <w:r>
              <w:rPr>
                <w:sz w:val="20"/>
                <w:szCs w:val="20"/>
              </w:rPr>
              <w:t>Open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5AC1F777" w14:textId="77777777">
            <w:pPr>
              <w:widowControl w:val="0"/>
              <w:jc w:val="center"/>
              <w:rPr>
                <w:sz w:val="20"/>
                <w:szCs w:val="20"/>
              </w:rPr>
            </w:pPr>
          </w:p>
        </w:tc>
      </w:tr>
      <w:tr w:rsidR="001E76EE" w:rsidTr="3FCDF590" w14:paraId="5A635FF0"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4652D27B"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1E76EE" w:rsidRDefault="001E76EE" w14:paraId="72619345"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245BAF0F"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1E76EE" w:rsidRDefault="004828B5" w14:paraId="6C57A8FD" w14:textId="77777777">
            <w:pPr>
              <w:widowControl w:val="0"/>
              <w:spacing w:line="240" w:lineRule="auto"/>
              <w:jc w:val="center"/>
              <w:rPr>
                <w:color w:val="FFFFFF"/>
                <w:sz w:val="20"/>
                <w:szCs w:val="20"/>
              </w:rPr>
            </w:pPr>
            <w:r>
              <w:rPr>
                <w:color w:val="FFFFFF"/>
                <w:sz w:val="20"/>
                <w:szCs w:val="20"/>
              </w:rPr>
              <w:t>Group</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1E76EE" w:rsidRDefault="004828B5" w14:paraId="79FAEA3E" w14:textId="77777777">
            <w:pPr>
              <w:jc w:val="center"/>
              <w:rPr>
                <w:sz w:val="20"/>
                <w:szCs w:val="20"/>
              </w:rPr>
            </w:pPr>
            <w:r>
              <w:rPr>
                <w:sz w:val="20"/>
                <w:szCs w:val="20"/>
              </w:rPr>
              <w:t>Goods</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29F941F0" w14:textId="77777777">
            <w:pPr>
              <w:widowControl w:val="0"/>
              <w:jc w:val="center"/>
              <w:rPr>
                <w:sz w:val="20"/>
                <w:szCs w:val="20"/>
              </w:rPr>
            </w:pPr>
          </w:p>
        </w:tc>
      </w:tr>
      <w:tr w:rsidR="001E76EE" w:rsidTr="3FCDF590" w14:paraId="760F1F40"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31646C87"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1E76EE" w:rsidRDefault="001E76EE" w14:paraId="74A457EC"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5FCDF39D"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1E76EE" w:rsidRDefault="004828B5" w14:paraId="7B07CA0A" w14:textId="77777777">
            <w:pPr>
              <w:widowControl w:val="0"/>
              <w:spacing w:line="240" w:lineRule="auto"/>
              <w:jc w:val="center"/>
              <w:rPr>
                <w:color w:val="FFFFFF"/>
                <w:sz w:val="20"/>
                <w:szCs w:val="20"/>
              </w:rPr>
            </w:pPr>
            <w:r>
              <w:rPr>
                <w:color w:val="FFFFFF"/>
                <w:sz w:val="20"/>
                <w:szCs w:val="20"/>
              </w:rPr>
              <w:t>Aggregation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1E76EE" w:rsidRDefault="004828B5" w14:paraId="74DED312" w14:textId="77777777">
            <w:pPr>
              <w:jc w:val="center"/>
              <w:rPr>
                <w:sz w:val="20"/>
                <w:szCs w:val="20"/>
              </w:rPr>
            </w:pPr>
            <w:r>
              <w:rPr>
                <w:sz w:val="20"/>
                <w:szCs w:val="20"/>
              </w:rPr>
              <w:t>Trader / CN8</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23545A0B" w14:textId="77777777">
            <w:pPr>
              <w:widowControl w:val="0"/>
              <w:jc w:val="center"/>
              <w:rPr>
                <w:sz w:val="20"/>
                <w:szCs w:val="20"/>
              </w:rPr>
            </w:pPr>
          </w:p>
        </w:tc>
      </w:tr>
      <w:tr w:rsidR="001E76EE" w:rsidTr="3FCDF590" w14:paraId="3273B8BC"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3D2ED07D"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1E76EE" w:rsidRDefault="001E76EE" w14:paraId="4801172A"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6CE2723C"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1E76EE" w:rsidRDefault="004828B5" w14:paraId="464548AE" w14:textId="77777777">
            <w:pPr>
              <w:widowControl w:val="0"/>
              <w:spacing w:line="240" w:lineRule="auto"/>
              <w:jc w:val="center"/>
              <w:rPr>
                <w:color w:val="FFFFFF"/>
                <w:sz w:val="20"/>
                <w:szCs w:val="20"/>
              </w:rPr>
            </w:pPr>
            <w:r>
              <w:rPr>
                <w:color w:val="FFFFFF"/>
                <w:sz w:val="20"/>
                <w:szCs w:val="20"/>
              </w:rPr>
              <w:t>Classification</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1E76EE" w:rsidRDefault="004828B5" w14:paraId="6B020FCD" w14:textId="77777777">
            <w:pPr>
              <w:jc w:val="center"/>
              <w:rPr>
                <w:sz w:val="20"/>
                <w:szCs w:val="20"/>
              </w:rPr>
            </w:pPr>
            <w:r>
              <w:rPr>
                <w:sz w:val="20"/>
                <w:szCs w:val="20"/>
              </w:rPr>
              <w:t>CN8</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49252E72" w14:textId="77777777">
            <w:pPr>
              <w:widowControl w:val="0"/>
              <w:jc w:val="center"/>
              <w:rPr>
                <w:sz w:val="20"/>
                <w:szCs w:val="20"/>
              </w:rPr>
            </w:pPr>
          </w:p>
        </w:tc>
      </w:tr>
      <w:tr w:rsidR="001E76EE" w:rsidTr="3FCDF590" w14:paraId="72DD2A7C" w14:textId="77777777">
        <w:trPr>
          <w:trHeight w:val="60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1C82DEAA"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1E76EE" w:rsidRDefault="001E76EE" w14:paraId="63A4D57B"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1E76EE" w:rsidRDefault="001E76EE" w14:paraId="459EB297"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1E76EE" w:rsidRDefault="004828B5" w14:paraId="74361BB3" w14:textId="77777777">
            <w:pPr>
              <w:widowControl w:val="0"/>
              <w:spacing w:line="240" w:lineRule="auto"/>
              <w:jc w:val="center"/>
              <w:rPr>
                <w:color w:val="FFFFFF"/>
                <w:sz w:val="20"/>
                <w:szCs w:val="20"/>
              </w:rPr>
            </w:pPr>
            <w:r>
              <w:rPr>
                <w:color w:val="FFFFFF"/>
                <w:sz w:val="20"/>
                <w:szCs w:val="20"/>
              </w:rPr>
              <w:t>Reporting Unit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1E76EE" w:rsidRDefault="004828B5" w14:paraId="5AD1A1DB" w14:textId="77777777">
            <w:pPr>
              <w:jc w:val="center"/>
              <w:rPr>
                <w:sz w:val="20"/>
                <w:szCs w:val="20"/>
              </w:rPr>
            </w:pPr>
            <w:r>
              <w:rPr>
                <w:sz w:val="20"/>
                <w:szCs w:val="20"/>
              </w:rPr>
              <w:t>VRN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373B23E7" w14:textId="77777777">
            <w:pPr>
              <w:widowControl w:val="0"/>
              <w:rPr>
                <w:sz w:val="20"/>
                <w:szCs w:val="20"/>
              </w:rPr>
            </w:pPr>
          </w:p>
        </w:tc>
      </w:tr>
      <w:tr w:rsidR="001E76EE" w:rsidTr="3FCDF590" w14:paraId="0C6BA39D"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29B3C186"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1E76EE" w:rsidRDefault="001E76EE" w14:paraId="7013E980"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100" w:type="dxa"/>
              <w:left w:w="100" w:type="dxa"/>
              <w:bottom w:w="100" w:type="dxa"/>
              <w:right w:w="100" w:type="dxa"/>
            </w:tcMar>
          </w:tcPr>
          <w:p w:rsidR="001E76EE" w:rsidRDefault="001E76EE" w14:paraId="46F1B9B4"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0B5394"/>
            <w:tcMar>
              <w:top w:w="0" w:type="dxa"/>
              <w:left w:w="40" w:type="dxa"/>
              <w:bottom w:w="0" w:type="dxa"/>
              <w:right w:w="40" w:type="dxa"/>
            </w:tcMar>
            <w:vAlign w:val="center"/>
          </w:tcPr>
          <w:p w:rsidR="001E76EE" w:rsidRDefault="004828B5" w14:paraId="426DFEF0" w14:textId="77777777">
            <w:pPr>
              <w:widowControl w:val="0"/>
              <w:spacing w:line="240" w:lineRule="auto"/>
              <w:jc w:val="center"/>
              <w:rPr>
                <w:color w:val="FFFFFF"/>
                <w:sz w:val="20"/>
                <w:szCs w:val="20"/>
              </w:rPr>
            </w:pPr>
            <w:r>
              <w:rPr>
                <w:color w:val="FFFFFF"/>
                <w:sz w:val="20"/>
                <w:szCs w:val="20"/>
              </w:rPr>
              <w:t>Source</w:t>
            </w:r>
          </w:p>
        </w:tc>
        <w:tc>
          <w:tcPr>
            <w:tcW w:w="2730" w:type="dxa"/>
            <w:tcBorders>
              <w:top w:val="single" w:color="D9D9D9" w:themeColor="background1" w:themeShade="D9" w:sz="4" w:space="0"/>
              <w:left w:val="single" w:color="D9D9D9" w:themeColor="background1" w:themeShade="D9" w:sz="4" w:space="0"/>
              <w:bottom w:val="nil"/>
              <w:right w:val="single" w:color="D9D9D9" w:themeColor="background1" w:themeShade="D9" w:sz="4" w:space="0"/>
            </w:tcBorders>
            <w:shd w:val="clear" w:color="auto" w:fill="auto"/>
            <w:tcMar>
              <w:top w:w="0" w:type="dxa"/>
              <w:left w:w="40" w:type="dxa"/>
              <w:bottom w:w="0" w:type="dxa"/>
              <w:right w:w="40" w:type="dxa"/>
            </w:tcMar>
            <w:vAlign w:val="center"/>
          </w:tcPr>
          <w:p w:rsidR="001E76EE" w:rsidRDefault="004828B5" w14:paraId="10DA2125" w14:textId="77777777">
            <w:pPr>
              <w:jc w:val="center"/>
              <w:rPr>
                <w:sz w:val="20"/>
                <w:szCs w:val="20"/>
              </w:rPr>
            </w:pPr>
            <w:r>
              <w:rPr>
                <w:sz w:val="20"/>
                <w:szCs w:val="20"/>
              </w:rPr>
              <w:t>Admin</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tcPr>
          <w:p w:rsidR="001E76EE" w:rsidRDefault="001E76EE" w14:paraId="1B3647C2" w14:textId="77777777">
            <w:pPr>
              <w:widowControl w:val="0"/>
              <w:rPr>
                <w:sz w:val="20"/>
                <w:szCs w:val="20"/>
              </w:rPr>
            </w:pPr>
          </w:p>
        </w:tc>
      </w:tr>
      <w:tr w:rsidR="001E76EE" w:rsidTr="3FCDF590" w14:paraId="33CBC4D0" w14:textId="77777777">
        <w:trPr>
          <w:trHeight w:val="30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1E76EE" w:rsidRDefault="001E76EE" w14:paraId="1870721D" w14:textId="77777777">
            <w:pPr>
              <w:widowControl w:val="0"/>
              <w:rPr>
                <w:sz w:val="20"/>
                <w:szCs w:val="20"/>
              </w:rPr>
            </w:pPr>
          </w:p>
        </w:tc>
        <w:tc>
          <w:tcPr>
            <w:tcW w:w="2655" w:type="dxa"/>
            <w:gridSpan w:val="2"/>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2CD67F3B" w14:textId="77777777">
            <w:pPr>
              <w:widowControl w:val="0"/>
              <w:rPr>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3BDBB2DB" w14:textId="77777777">
            <w:pPr>
              <w:widowControl w:val="0"/>
              <w:rPr>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76694CC7" w14:textId="77777777">
            <w:pPr>
              <w:widowControl w:val="0"/>
              <w:rPr>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40B36A99"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3E0D569C" w14:textId="77777777">
            <w:pPr>
              <w:widowControl w:val="0"/>
              <w:rPr>
                <w:sz w:val="20"/>
                <w:szCs w:val="20"/>
              </w:rPr>
            </w:pPr>
          </w:p>
        </w:tc>
        <w:tc>
          <w:tcPr>
            <w:tcW w:w="1785"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20C06F26" w14:textId="77777777">
            <w:pPr>
              <w:widowControl w:val="0"/>
              <w:rPr>
                <w:sz w:val="20"/>
                <w:szCs w:val="20"/>
              </w:rPr>
            </w:pPr>
          </w:p>
        </w:tc>
        <w:tc>
          <w:tcPr>
            <w:tcW w:w="273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1174BB6E"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46472E65" w14:textId="77777777">
            <w:pPr>
              <w:widowControl w:val="0"/>
              <w:rPr>
                <w:sz w:val="20"/>
                <w:szCs w:val="20"/>
              </w:rPr>
            </w:pPr>
          </w:p>
        </w:tc>
      </w:tr>
      <w:tr w:rsidR="001E76EE" w:rsidTr="3FCDF590" w14:paraId="71EC2514"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1E76EE" w:rsidRDefault="001E76EE" w14:paraId="2B4A3D86" w14:textId="77777777">
            <w:pPr>
              <w:widowControl w:val="0"/>
              <w:rPr>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1E76EE" w:rsidRDefault="004828B5" w14:paraId="5A270EFA" w14:textId="77777777">
            <w:pPr>
              <w:widowControl w:val="0"/>
              <w:jc w:val="center"/>
              <w:rPr>
                <w:b/>
                <w:color w:val="FFFFFF"/>
                <w:sz w:val="20"/>
                <w:szCs w:val="20"/>
              </w:rPr>
            </w:pPr>
            <w:r>
              <w:rPr>
                <w:b/>
                <w:color w:val="FFFFFF"/>
                <w:sz w:val="20"/>
                <w:szCs w:val="20"/>
              </w:rPr>
              <w:t>Recommended Usage</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1E76EE" w:rsidRDefault="001E76EE" w14:paraId="277669BC" w14:textId="77777777">
            <w:pPr>
              <w:widowControl w:val="0"/>
              <w:rPr>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1E76EE" w:rsidRDefault="001E76EE" w14:paraId="04C30DC5"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49F3E215" w14:textId="77777777">
            <w:pPr>
              <w:widowControl w:val="0"/>
              <w:spacing w:line="240" w:lineRule="auto"/>
              <w:rPr>
                <w:sz w:val="20"/>
                <w:szCs w:val="20"/>
              </w:rPr>
            </w:pPr>
          </w:p>
        </w:tc>
        <w:tc>
          <w:tcPr>
            <w:tcW w:w="1785" w:type="dxa"/>
            <w:tcBorders>
              <w:top w:val="nil"/>
              <w:left w:val="nil"/>
              <w:bottom w:val="single" w:color="D9D9D9" w:themeColor="background1" w:themeShade="D9" w:sz="4" w:space="0"/>
              <w:right w:val="nil"/>
            </w:tcBorders>
            <w:shd w:val="clear" w:color="auto" w:fill="073763"/>
            <w:tcMar>
              <w:top w:w="56" w:type="dxa"/>
              <w:left w:w="56" w:type="dxa"/>
              <w:bottom w:w="56" w:type="dxa"/>
              <w:right w:w="56" w:type="dxa"/>
            </w:tcMar>
            <w:vAlign w:val="center"/>
          </w:tcPr>
          <w:p w:rsidR="001E76EE" w:rsidRDefault="004828B5" w14:paraId="2C351D37" w14:textId="77777777">
            <w:pPr>
              <w:widowControl w:val="0"/>
              <w:spacing w:line="240" w:lineRule="auto"/>
              <w:jc w:val="center"/>
              <w:rPr>
                <w:b/>
                <w:color w:val="FFFFFF"/>
                <w:sz w:val="20"/>
                <w:szCs w:val="20"/>
              </w:rPr>
            </w:pPr>
            <w:r>
              <w:rPr>
                <w:b/>
                <w:color w:val="FFFFFF"/>
                <w:sz w:val="20"/>
                <w:szCs w:val="20"/>
              </w:rPr>
              <w:t>Contacts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1E76EE" w:rsidRDefault="001E76EE" w14:paraId="0CAE9BCE"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219BD2A1" w14:textId="77777777">
            <w:pPr>
              <w:widowControl w:val="0"/>
              <w:rPr>
                <w:sz w:val="20"/>
                <w:szCs w:val="20"/>
              </w:rPr>
            </w:pPr>
          </w:p>
        </w:tc>
      </w:tr>
      <w:tr w:rsidR="001E76EE" w:rsidTr="3FCDF590" w14:paraId="0FC92D31"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0B57721F" w14:textId="77777777">
            <w:pPr>
              <w:widowControl w:val="0"/>
              <w:rPr>
                <w:sz w:val="20"/>
                <w:szCs w:val="20"/>
              </w:rPr>
            </w:pPr>
          </w:p>
        </w:tc>
        <w:tc>
          <w:tcPr>
            <w:tcW w:w="5820" w:type="dxa"/>
            <w:gridSpan w:val="5"/>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1E76EE" w:rsidRDefault="004828B5" w14:paraId="34C1BA7F" w14:textId="77777777">
            <w:pPr>
              <w:rPr>
                <w:sz w:val="20"/>
                <w:szCs w:val="20"/>
              </w:rPr>
            </w:pPr>
            <w:r>
              <w:rPr>
                <w:sz w:val="20"/>
                <w:szCs w:val="20"/>
              </w:rPr>
              <w:t>The database is updated each month with information taken from Customs declarations. It allows users to view and download the information (subject to capacity limitations) and can be searched by name, commodity code, goods description, postcode and county.</w:t>
            </w:r>
          </w:p>
          <w:p w:rsidR="001E76EE" w:rsidRDefault="001E76EE" w14:paraId="071C6C90" w14:textId="77777777">
            <w:pPr>
              <w:rPr>
                <w:sz w:val="20"/>
                <w:szCs w:val="20"/>
              </w:rPr>
            </w:pPr>
          </w:p>
          <w:p w:rsidR="001E76EE" w:rsidRDefault="004828B5" w14:paraId="687D7C4B" w14:textId="77777777">
            <w:pPr>
              <w:spacing w:before="150" w:after="150"/>
              <w:rPr>
                <w:sz w:val="20"/>
                <w:szCs w:val="20"/>
              </w:rPr>
            </w:pPr>
            <w:r>
              <w:rPr>
                <w:sz w:val="20"/>
                <w:szCs w:val="20"/>
              </w:rPr>
              <w:t>The law that requires us to publish this information is section 10(1) of the Small Business, Enterprise and Employment Act 2015 and Statutory Instrument 2015 No. 2060.</w:t>
            </w:r>
          </w:p>
          <w:p w:rsidR="001E76EE" w:rsidRDefault="004828B5" w14:paraId="31163AFD" w14:textId="77777777">
            <w:pPr>
              <w:spacing w:before="150" w:after="150"/>
              <w:rPr>
                <w:sz w:val="20"/>
                <w:szCs w:val="20"/>
              </w:rPr>
            </w:pPr>
            <w:r>
              <w:rPr>
                <w:sz w:val="20"/>
                <w:szCs w:val="20"/>
              </w:rPr>
              <w:t>Although this facility is designed to assist exporters, their confidentiality is prote</w:t>
            </w:r>
            <w:r>
              <w:rPr>
                <w:sz w:val="20"/>
                <w:szCs w:val="20"/>
              </w:rPr>
              <w:t>cted and no details of markets, customers or market share are given or can be deduced. In particular:</w:t>
            </w:r>
          </w:p>
          <w:p w:rsidR="001E76EE" w:rsidRDefault="004828B5" w14:paraId="3CE1CB69" w14:textId="77777777">
            <w:pPr>
              <w:numPr>
                <w:ilvl w:val="0"/>
                <w:numId w:val="1"/>
              </w:numPr>
              <w:ind w:left="480"/>
              <w:rPr>
                <w:sz w:val="20"/>
                <w:szCs w:val="20"/>
              </w:rPr>
            </w:pPr>
            <w:r>
              <w:rPr>
                <w:sz w:val="20"/>
                <w:szCs w:val="20"/>
              </w:rPr>
              <w:t>No trade figures are included with the exporter information</w:t>
            </w:r>
          </w:p>
          <w:p w:rsidR="001E76EE" w:rsidRDefault="004828B5" w14:paraId="3D454A45" w14:textId="77777777">
            <w:pPr>
              <w:numPr>
                <w:ilvl w:val="0"/>
                <w:numId w:val="1"/>
              </w:numPr>
              <w:ind w:left="480"/>
              <w:rPr>
                <w:sz w:val="20"/>
                <w:szCs w:val="20"/>
              </w:rPr>
            </w:pPr>
            <w:r>
              <w:rPr>
                <w:sz w:val="20"/>
                <w:szCs w:val="20"/>
              </w:rPr>
              <w:t xml:space="preserve">Where only a few businesses have been engaged in exporting the same types of goods during the </w:t>
            </w:r>
            <w:r>
              <w:rPr>
                <w:sz w:val="20"/>
                <w:szCs w:val="20"/>
              </w:rPr>
              <w:t xml:space="preserve">same month, </w:t>
            </w:r>
            <w:r>
              <w:rPr>
                <w:sz w:val="20"/>
                <w:szCs w:val="20"/>
              </w:rPr>
              <w:lastRenderedPageBreak/>
              <w:t>the details of those businesses are not shown against those goods, but are reintroduced at a higher level of classification</w:t>
            </w:r>
          </w:p>
          <w:p w:rsidR="001E76EE" w:rsidRDefault="004828B5" w14:paraId="263F0BB7" w14:textId="77777777">
            <w:pPr>
              <w:numPr>
                <w:ilvl w:val="0"/>
                <w:numId w:val="1"/>
              </w:numPr>
              <w:ind w:left="480"/>
              <w:rPr>
                <w:sz w:val="20"/>
                <w:szCs w:val="20"/>
              </w:rPr>
            </w:pPr>
            <w:r>
              <w:rPr>
                <w:sz w:val="20"/>
                <w:szCs w:val="20"/>
              </w:rPr>
              <w:t>Information on exporters of certain sensitive goods is withheld to protect both those companies and the national interes</w:t>
            </w:r>
            <w:r>
              <w:rPr>
                <w:sz w:val="20"/>
                <w:szCs w:val="20"/>
              </w:rPr>
              <w:t>t</w:t>
            </w:r>
          </w:p>
          <w:p w:rsidR="001E76EE" w:rsidRDefault="004828B5" w14:paraId="5BB12C5E" w14:textId="77777777">
            <w:pPr>
              <w:numPr>
                <w:ilvl w:val="0"/>
                <w:numId w:val="1"/>
              </w:numPr>
              <w:ind w:left="480"/>
              <w:rPr>
                <w:sz w:val="20"/>
                <w:szCs w:val="20"/>
              </w:rPr>
            </w:pPr>
            <w:r>
              <w:rPr>
                <w:sz w:val="20"/>
                <w:szCs w:val="20"/>
              </w:rPr>
              <w:t>The database is updated each month with information taken from Customs declarations. It allows users to view and download the information (subject to capacity limitations) and can be searched by name, commodity code, goods description, postcode and count</w:t>
            </w:r>
            <w:r>
              <w:rPr>
                <w:sz w:val="20"/>
                <w:szCs w:val="20"/>
              </w:rPr>
              <w:t>y.</w:t>
            </w:r>
          </w:p>
          <w:p w:rsidR="001E76EE" w:rsidRDefault="001E76EE" w14:paraId="36FFF787" w14:textId="77777777">
            <w:pPr>
              <w:rPr>
                <w:sz w:val="20"/>
                <w:szCs w:val="20"/>
              </w:rPr>
            </w:pPr>
          </w:p>
          <w:p w:rsidR="001E76EE" w:rsidRDefault="004828B5" w14:paraId="14C7C6AB" w14:textId="77777777">
            <w:pPr>
              <w:widowControl w:val="0"/>
              <w:rPr>
                <w:sz w:val="20"/>
                <w:szCs w:val="20"/>
              </w:rPr>
            </w:pPr>
            <w:r>
              <w:rPr>
                <w:sz w:val="20"/>
                <w:szCs w:val="20"/>
              </w:rPr>
              <w:t xml:space="preserve">We withhold some information in order to protect trader confidentiality, who can opt out from the register. Exporters Details are not part of our National Statistics datasets so the Overseas Trade Statistics (OTS): Policy on Suppression does not cover </w:t>
            </w:r>
            <w:r>
              <w:rPr>
                <w:sz w:val="20"/>
                <w:szCs w:val="20"/>
              </w:rPr>
              <w:t xml:space="preserve">exporters Details. Consequently, suppression of OTS data for commercial reasons will not automatically suppress exporters Details publication.  </w:t>
            </w:r>
          </w:p>
          <w:p w:rsidR="001E76EE" w:rsidRDefault="001E76EE" w14:paraId="4F1D52AE" w14:textId="77777777">
            <w:pPr>
              <w:rPr>
                <w:sz w:val="20"/>
                <w:szCs w:val="20"/>
              </w:rPr>
            </w:pPr>
          </w:p>
          <w:p w:rsidR="001E76EE" w:rsidRDefault="004828B5" w14:paraId="32F9BEC5" w14:textId="77777777">
            <w:pPr>
              <w:rPr>
                <w:sz w:val="20"/>
                <w:szCs w:val="20"/>
              </w:rPr>
            </w:pPr>
            <w:r>
              <w:rPr>
                <w:sz w:val="20"/>
                <w:szCs w:val="20"/>
              </w:rPr>
              <w:t>Details of suppression policy is available from:</w:t>
            </w:r>
          </w:p>
          <w:p w:rsidR="001E76EE" w:rsidRDefault="004828B5" w14:paraId="32185213" w14:textId="77777777">
            <w:pPr>
              <w:rPr>
                <w:sz w:val="20"/>
                <w:szCs w:val="20"/>
              </w:rPr>
            </w:pPr>
            <w:hyperlink r:id="rId10">
              <w:r>
                <w:rPr>
                  <w:color w:val="0000FF"/>
                  <w:sz w:val="20"/>
                  <w:szCs w:val="20"/>
                  <w:u w:val="single"/>
                </w:rPr>
                <w:t>https://www.uktradeinfo.com/Statistics/OverseasTradeStatistics/AboutOverseastradeStatistics/Documents/Suppressions-Exporters%20details%20p</w:t>
              </w:r>
              <w:r>
                <w:rPr>
                  <w:color w:val="0000FF"/>
                  <w:sz w:val="20"/>
                  <w:szCs w:val="20"/>
                  <w:u w:val="single"/>
                </w:rPr>
                <w:t>ublished%20policy.pdf</w:t>
              </w:r>
            </w:hyperlink>
          </w:p>
          <w:p w:rsidR="001E76EE" w:rsidRDefault="001E76EE" w14:paraId="6A1179D1" w14:textId="77777777">
            <w:pPr>
              <w:rPr>
                <w:sz w:val="20"/>
                <w:szCs w:val="20"/>
              </w:rPr>
            </w:pPr>
          </w:p>
          <w:p w:rsidR="001E76EE" w:rsidRDefault="004828B5" w14:paraId="3B7B3BBD" w14:textId="77777777">
            <w:pPr>
              <w:rPr>
                <w:sz w:val="20"/>
                <w:szCs w:val="20"/>
              </w:rPr>
            </w:pPr>
            <w:r>
              <w:rPr>
                <w:sz w:val="20"/>
                <w:szCs w:val="20"/>
              </w:rPr>
              <w:t>The database is updated each month with information taken from Customs declarations. It allows users to view and download the information (subject to capacity limitations) and can be searched by name, commodity code, goods descriptio</w:t>
            </w:r>
            <w:r>
              <w:rPr>
                <w:sz w:val="20"/>
                <w:szCs w:val="20"/>
              </w:rPr>
              <w:t>n, postcode and count.</w:t>
            </w:r>
          </w:p>
          <w:p w:rsidR="001E76EE" w:rsidRDefault="001E76EE" w14:paraId="01AFA252" w14:textId="77777777">
            <w:pPr>
              <w:rPr>
                <w:sz w:val="20"/>
                <w:szCs w:val="20"/>
              </w:rPr>
            </w:pPr>
          </w:p>
          <w:p w:rsidR="001E76EE" w:rsidRDefault="004828B5" w14:paraId="49F2E367" w14:textId="77777777">
            <w:pPr>
              <w:rPr>
                <w:sz w:val="20"/>
                <w:szCs w:val="20"/>
              </w:rPr>
            </w:pPr>
            <w:bookmarkStart w:name="_heading=h.gjdgxs" w:colFirst="0" w:colLast="0" w:id="0"/>
            <w:bookmarkEnd w:id="0"/>
            <w:r>
              <w:rPr>
                <w:sz w:val="20"/>
                <w:szCs w:val="20"/>
              </w:rPr>
              <w:t xml:space="preserve">Bulk datasets, accessible in open format, are available from this link: </w:t>
            </w:r>
          </w:p>
          <w:p w:rsidR="001E76EE" w:rsidRDefault="004828B5" w14:paraId="060AC86E" w14:textId="77777777">
            <w:pPr>
              <w:rPr>
                <w:sz w:val="20"/>
                <w:szCs w:val="20"/>
              </w:rPr>
            </w:pPr>
            <w:hyperlink r:id="rId11">
              <w:r>
                <w:rPr>
                  <w:color w:val="0000FF"/>
                  <w:sz w:val="20"/>
                  <w:szCs w:val="20"/>
                  <w:u w:val="single"/>
                </w:rPr>
                <w:t>https://www.uktradeinfo.com/Statistics/Pages/DataDownloads.aspx</w:t>
              </w:r>
            </w:hyperlink>
            <w:r>
              <w:rPr>
                <w:sz w:val="20"/>
                <w:szCs w:val="20"/>
              </w:rPr>
              <w:t xml:space="preserve"> </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66B7DE8E" w14:textId="77777777">
            <w:pPr>
              <w:widowControl w:val="0"/>
              <w:spacing w:line="240" w:lineRule="auto"/>
              <w:rPr>
                <w:sz w:val="20"/>
                <w:szCs w:val="20"/>
              </w:rPr>
            </w:pPr>
          </w:p>
        </w:tc>
        <w:tc>
          <w:tcPr>
            <w:tcW w:w="178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1E76EE" w:rsidRDefault="004828B5" w14:paraId="36E1C913" w14:textId="77777777">
            <w:pPr>
              <w:widowControl w:val="0"/>
              <w:spacing w:line="240" w:lineRule="auto"/>
              <w:jc w:val="center"/>
              <w:rPr>
                <w:color w:val="FFFFFF"/>
                <w:sz w:val="20"/>
                <w:szCs w:val="20"/>
              </w:rPr>
            </w:pPr>
            <w:r>
              <w:rPr>
                <w:color w:val="FFFFFF"/>
                <w:sz w:val="20"/>
                <w:szCs w:val="20"/>
              </w:rPr>
              <w:t>Key department</w:t>
            </w:r>
          </w:p>
        </w:tc>
        <w:tc>
          <w:tcPr>
            <w:tcW w:w="2730"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1E76EE" w:rsidRDefault="004828B5" w14:paraId="0EEBAF6D" w14:textId="77777777">
            <w:pPr>
              <w:widowControl w:val="0"/>
              <w:spacing w:line="240" w:lineRule="auto"/>
              <w:jc w:val="center"/>
              <w:rPr>
                <w:sz w:val="20"/>
                <w:szCs w:val="20"/>
              </w:rPr>
            </w:pPr>
            <w:r>
              <w:rPr>
                <w:sz w:val="20"/>
                <w:szCs w:val="20"/>
              </w:rPr>
              <w:t>HMRC</w:t>
            </w: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02B5B40E" w14:textId="77777777">
            <w:pPr>
              <w:widowControl w:val="0"/>
              <w:rPr>
                <w:sz w:val="20"/>
                <w:szCs w:val="20"/>
              </w:rPr>
            </w:pPr>
          </w:p>
        </w:tc>
      </w:tr>
      <w:tr w:rsidR="001E76EE" w:rsidTr="3FCDF590" w14:paraId="2238ECB8" w14:textId="77777777">
        <w:trPr>
          <w:trHeight w:val="3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33D77BCF"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1E76EE" w:rsidRDefault="001E76EE" w14:paraId="6CB577DB"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08C40D97" w14:textId="77777777">
            <w:pPr>
              <w:widowControl w:val="0"/>
              <w:spacing w:line="240" w:lineRule="auto"/>
              <w:rPr>
                <w:sz w:val="20"/>
                <w:szCs w:val="20"/>
              </w:rPr>
            </w:pPr>
          </w:p>
        </w:tc>
        <w:tc>
          <w:tcPr>
            <w:tcW w:w="178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56" w:type="dxa"/>
              <w:left w:w="56" w:type="dxa"/>
              <w:bottom w:w="56" w:type="dxa"/>
              <w:right w:w="56" w:type="dxa"/>
            </w:tcMar>
            <w:vAlign w:val="center"/>
          </w:tcPr>
          <w:p w:rsidR="001E76EE" w:rsidRDefault="004828B5" w14:paraId="644A053D" w14:textId="77777777">
            <w:pPr>
              <w:widowControl w:val="0"/>
              <w:spacing w:line="240" w:lineRule="auto"/>
              <w:jc w:val="center"/>
              <w:rPr>
                <w:color w:val="FFFFFF"/>
                <w:sz w:val="20"/>
                <w:szCs w:val="20"/>
              </w:rPr>
            </w:pPr>
            <w:r>
              <w:rPr>
                <w:color w:val="FFFFFF"/>
                <w:sz w:val="20"/>
                <w:szCs w:val="20"/>
              </w:rPr>
              <w:t>Key individuals</w:t>
            </w:r>
          </w:p>
        </w:tc>
        <w:tc>
          <w:tcPr>
            <w:tcW w:w="2730"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auto"/>
            <w:tcMar>
              <w:top w:w="0" w:type="dxa"/>
              <w:left w:w="40" w:type="dxa"/>
              <w:bottom w:w="0" w:type="dxa"/>
              <w:right w:w="40" w:type="dxa"/>
            </w:tcMar>
            <w:vAlign w:val="center"/>
          </w:tcPr>
          <w:p w:rsidR="001E76EE" w:rsidRDefault="004828B5" w14:paraId="06B7D586" w14:textId="77777777">
            <w:pPr>
              <w:widowControl w:val="0"/>
              <w:spacing w:line="240" w:lineRule="auto"/>
              <w:jc w:val="center"/>
              <w:rPr>
                <w:b/>
                <w:sz w:val="20"/>
                <w:szCs w:val="20"/>
              </w:rPr>
            </w:pPr>
            <w:bookmarkStart w:name="_heading=h.30j0zll" w:colFirst="0" w:colLast="0" w:id="1"/>
            <w:bookmarkEnd w:id="1"/>
            <w:r>
              <w:rPr>
                <w:b/>
                <w:sz w:val="20"/>
                <w:szCs w:val="20"/>
              </w:rPr>
              <w:t>James Durnford</w:t>
            </w:r>
          </w:p>
          <w:p w:rsidR="001E76EE" w:rsidRDefault="004828B5" w14:paraId="5587196B" w14:textId="77777777">
            <w:pPr>
              <w:widowControl w:val="0"/>
              <w:spacing w:line="240" w:lineRule="auto"/>
              <w:jc w:val="center"/>
              <w:rPr>
                <w:sz w:val="20"/>
                <w:szCs w:val="20"/>
              </w:rPr>
            </w:pPr>
            <w:hyperlink r:id="rId12">
              <w:r>
                <w:rPr>
                  <w:color w:val="0000FF"/>
                  <w:sz w:val="20"/>
                  <w:szCs w:val="20"/>
                  <w:u w:val="single"/>
                </w:rPr>
                <w:t>James.durnford@hmrc.gov.uk</w:t>
              </w:r>
            </w:hyperlink>
          </w:p>
          <w:p w:rsidR="001E76EE" w:rsidRDefault="001E76EE" w14:paraId="3AE7105D" w14:textId="77777777">
            <w:pPr>
              <w:widowControl w:val="0"/>
              <w:spacing w:line="240" w:lineRule="auto"/>
              <w:jc w:val="center"/>
              <w:rPr>
                <w:sz w:val="20"/>
                <w:szCs w:val="20"/>
              </w:rPr>
            </w:pPr>
          </w:p>
          <w:p w:rsidR="001E76EE" w:rsidRDefault="004828B5" w14:paraId="4D6B883E" w14:textId="77777777">
            <w:pPr>
              <w:widowControl w:val="0"/>
              <w:spacing w:line="240" w:lineRule="auto"/>
              <w:jc w:val="center"/>
              <w:rPr>
                <w:sz w:val="20"/>
                <w:szCs w:val="20"/>
              </w:rPr>
            </w:pPr>
            <w:hyperlink r:id="rId13">
              <w:r>
                <w:rPr>
                  <w:color w:val="0000FF"/>
                  <w:sz w:val="20"/>
                  <w:szCs w:val="20"/>
                  <w:u w:val="single"/>
                </w:rPr>
                <w:t>uktradeinfo@hmrc.gsi.gov.uk</w:t>
              </w:r>
            </w:hyperlink>
          </w:p>
          <w:p w:rsidR="001E76EE" w:rsidRDefault="001E76EE" w14:paraId="31567ECD" w14:textId="77777777">
            <w:pPr>
              <w:widowControl w:val="0"/>
              <w:spacing w:line="240" w:lineRule="auto"/>
              <w:jc w:val="center"/>
              <w:rPr>
                <w:sz w:val="20"/>
                <w:szCs w:val="20"/>
              </w:rPr>
            </w:pPr>
          </w:p>
          <w:p w:rsidR="001E76EE" w:rsidRDefault="001E76EE" w14:paraId="5E4B54DD" w14:textId="77777777">
            <w:pPr>
              <w:widowControl w:val="0"/>
              <w:spacing w:line="240" w:lineRule="auto"/>
              <w:jc w:val="center"/>
              <w:rPr>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0B038CB0" w14:textId="77777777">
            <w:pPr>
              <w:widowControl w:val="0"/>
              <w:rPr>
                <w:sz w:val="20"/>
                <w:szCs w:val="20"/>
              </w:rPr>
            </w:pPr>
          </w:p>
        </w:tc>
      </w:tr>
      <w:tr w:rsidR="001E76EE" w:rsidTr="3FCDF590" w14:paraId="65365D70" w14:textId="77777777">
        <w:trPr>
          <w:trHeight w:val="14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7CDE0BD5" w14:textId="77777777">
            <w:pPr>
              <w:widowControl w:val="0"/>
              <w:rPr>
                <w:sz w:val="20"/>
                <w:szCs w:val="20"/>
              </w:rPr>
            </w:pPr>
          </w:p>
        </w:tc>
        <w:tc>
          <w:tcPr>
            <w:tcW w:w="5820" w:type="dxa"/>
            <w:gridSpan w:val="5"/>
            <w:vMerge/>
            <w:tcBorders/>
            <w:tcMar>
              <w:top w:w="0" w:type="dxa"/>
              <w:left w:w="40" w:type="dxa"/>
              <w:bottom w:w="0" w:type="dxa"/>
              <w:right w:w="40" w:type="dxa"/>
            </w:tcMar>
            <w:vAlign w:val="center"/>
          </w:tcPr>
          <w:p w:rsidR="001E76EE" w:rsidRDefault="001E76EE" w14:paraId="6D78E509"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51F77172" w14:textId="77777777">
            <w:pPr>
              <w:widowControl w:val="0"/>
              <w:spacing w:line="240" w:lineRule="auto"/>
              <w:rPr>
                <w:sz w:val="20"/>
                <w:szCs w:val="20"/>
              </w:rPr>
            </w:pPr>
          </w:p>
        </w:tc>
        <w:tc>
          <w:tcPr>
            <w:tcW w:w="1785" w:type="dxa"/>
            <w:vMerge/>
            <w:tcBorders/>
            <w:tcMar>
              <w:top w:w="56" w:type="dxa"/>
              <w:left w:w="56" w:type="dxa"/>
              <w:bottom w:w="56" w:type="dxa"/>
              <w:right w:w="56" w:type="dxa"/>
            </w:tcMar>
            <w:vAlign w:val="center"/>
          </w:tcPr>
          <w:p w:rsidR="001E76EE" w:rsidRDefault="001E76EE" w14:paraId="1CC800E7" w14:textId="77777777">
            <w:pPr>
              <w:widowControl w:val="0"/>
              <w:pBdr>
                <w:top w:val="nil"/>
                <w:left w:val="nil"/>
                <w:bottom w:val="nil"/>
                <w:right w:val="nil"/>
                <w:between w:val="nil"/>
              </w:pBdr>
              <w:rPr>
                <w:sz w:val="20"/>
                <w:szCs w:val="20"/>
              </w:rPr>
            </w:pPr>
          </w:p>
        </w:tc>
        <w:tc>
          <w:tcPr>
            <w:tcW w:w="2730" w:type="dxa"/>
            <w:vMerge/>
            <w:tcBorders/>
            <w:tcMar>
              <w:top w:w="0" w:type="dxa"/>
              <w:left w:w="40" w:type="dxa"/>
              <w:bottom w:w="0" w:type="dxa"/>
              <w:right w:w="40" w:type="dxa"/>
            </w:tcMar>
            <w:vAlign w:val="center"/>
          </w:tcPr>
          <w:p w:rsidR="001E76EE" w:rsidRDefault="001E76EE" w14:paraId="3FD75344"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42A23E21" w14:textId="77777777">
            <w:pPr>
              <w:widowControl w:val="0"/>
              <w:rPr>
                <w:sz w:val="20"/>
                <w:szCs w:val="20"/>
              </w:rPr>
            </w:pPr>
          </w:p>
        </w:tc>
      </w:tr>
      <w:tr w:rsidR="001E76EE" w:rsidTr="3FCDF590" w14:paraId="5AD91F2B"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1E76EE" w:rsidRDefault="001E76EE" w14:paraId="71AB8FA4" w14:textId="77777777">
            <w:pPr>
              <w:widowControl w:val="0"/>
              <w:rPr>
                <w:sz w:val="20"/>
                <w:szCs w:val="20"/>
              </w:rPr>
            </w:pPr>
          </w:p>
        </w:tc>
        <w:tc>
          <w:tcPr>
            <w:tcW w:w="172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5DB26D61" w14:textId="77777777">
            <w:pPr>
              <w:widowControl w:val="0"/>
              <w:spacing w:line="240" w:lineRule="auto"/>
              <w:rPr>
                <w:sz w:val="20"/>
                <w:szCs w:val="20"/>
              </w:rPr>
            </w:pPr>
          </w:p>
        </w:tc>
        <w:tc>
          <w:tcPr>
            <w:tcW w:w="9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211B042C" w14:textId="77777777">
            <w:pPr>
              <w:widowControl w:val="0"/>
              <w:rPr>
                <w:sz w:val="20"/>
                <w:szCs w:val="20"/>
              </w:rPr>
            </w:pPr>
          </w:p>
        </w:tc>
        <w:tc>
          <w:tcPr>
            <w:tcW w:w="36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247BCEF9" w14:textId="77777777">
            <w:pPr>
              <w:widowControl w:val="0"/>
              <w:rPr>
                <w:sz w:val="20"/>
                <w:szCs w:val="20"/>
              </w:rPr>
            </w:pPr>
          </w:p>
        </w:tc>
        <w:tc>
          <w:tcPr>
            <w:tcW w:w="210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3CBFE8C5" w14:textId="77777777">
            <w:pPr>
              <w:widowControl w:val="0"/>
              <w:rPr>
                <w:sz w:val="20"/>
                <w:szCs w:val="20"/>
              </w:rPr>
            </w:pPr>
          </w:p>
        </w:tc>
        <w:tc>
          <w:tcPr>
            <w:tcW w:w="70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29519DE4"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3B2302E1" w14:textId="77777777">
            <w:pPr>
              <w:widowControl w:val="0"/>
              <w:rPr>
                <w:sz w:val="20"/>
                <w:szCs w:val="20"/>
              </w:rPr>
            </w:pPr>
          </w:p>
        </w:tc>
        <w:tc>
          <w:tcPr>
            <w:tcW w:w="1785"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49323D6A" w14:textId="77777777">
            <w:pPr>
              <w:widowControl w:val="0"/>
              <w:rPr>
                <w:sz w:val="20"/>
                <w:szCs w:val="20"/>
              </w:rPr>
            </w:pPr>
          </w:p>
        </w:tc>
        <w:tc>
          <w:tcPr>
            <w:tcW w:w="2730" w:type="dxa"/>
            <w:tcBorders>
              <w:top w:val="single" w:color="D9D9D9" w:themeColor="background1" w:themeShade="D9" w:sz="4" w:space="0"/>
              <w:left w:val="nil"/>
              <w:bottom w:val="nil"/>
              <w:right w:val="nil"/>
            </w:tcBorders>
            <w:shd w:val="clear" w:color="auto" w:fill="F3F3F3"/>
            <w:tcMar>
              <w:top w:w="0" w:type="dxa"/>
              <w:left w:w="40" w:type="dxa"/>
              <w:bottom w:w="0" w:type="dxa"/>
              <w:right w:w="40" w:type="dxa"/>
            </w:tcMar>
            <w:vAlign w:val="center"/>
          </w:tcPr>
          <w:p w:rsidR="001E76EE" w:rsidRDefault="001E76EE" w14:paraId="276AF6E2"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4D8DFABE" w14:textId="77777777">
            <w:pPr>
              <w:widowControl w:val="0"/>
              <w:rPr>
                <w:sz w:val="20"/>
                <w:szCs w:val="20"/>
              </w:rPr>
            </w:pPr>
          </w:p>
        </w:tc>
      </w:tr>
      <w:tr w:rsidR="001E76EE" w:rsidTr="3FCDF590" w14:paraId="499F78DC" w14:textId="77777777">
        <w:trPr>
          <w:trHeight w:val="380"/>
        </w:trPr>
        <w:tc>
          <w:tcPr>
            <w:tcW w:w="258" w:type="dxa"/>
            <w:tcBorders>
              <w:top w:val="nil"/>
              <w:left w:val="nil"/>
              <w:bottom w:val="nil"/>
              <w:right w:val="nil"/>
            </w:tcBorders>
            <w:shd w:val="clear" w:color="auto" w:fill="F3F3F3"/>
            <w:tcMar>
              <w:top w:w="0" w:type="dxa"/>
              <w:left w:w="40" w:type="dxa"/>
              <w:bottom w:w="0" w:type="dxa"/>
              <w:right w:w="40" w:type="dxa"/>
            </w:tcMar>
            <w:vAlign w:val="bottom"/>
          </w:tcPr>
          <w:p w:rsidR="001E76EE" w:rsidRDefault="001E76EE" w14:paraId="568D8DC9" w14:textId="77777777">
            <w:pPr>
              <w:widowControl w:val="0"/>
              <w:rPr>
                <w:sz w:val="20"/>
                <w:szCs w:val="20"/>
              </w:rPr>
            </w:pPr>
          </w:p>
        </w:tc>
        <w:tc>
          <w:tcPr>
            <w:tcW w:w="3015" w:type="dxa"/>
            <w:gridSpan w:val="3"/>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1E76EE" w:rsidRDefault="004828B5" w14:paraId="0F8537B5" w14:textId="77777777">
            <w:pPr>
              <w:widowControl w:val="0"/>
              <w:jc w:val="center"/>
              <w:rPr>
                <w:b/>
                <w:color w:val="FFFFFF"/>
                <w:sz w:val="20"/>
                <w:szCs w:val="20"/>
              </w:rPr>
            </w:pPr>
            <w:r>
              <w:rPr>
                <w:b/>
                <w:color w:val="FFFFFF"/>
                <w:sz w:val="20"/>
                <w:szCs w:val="20"/>
              </w:rPr>
              <w:t>Quality Indicators</w:t>
            </w:r>
          </w:p>
        </w:tc>
        <w:tc>
          <w:tcPr>
            <w:tcW w:w="210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1E76EE" w:rsidRDefault="001E76EE" w14:paraId="04B6CC83" w14:textId="77777777">
            <w:pPr>
              <w:widowControl w:val="0"/>
              <w:jc w:val="center"/>
              <w:rPr>
                <w:b/>
                <w:color w:val="FFFFFF"/>
                <w:sz w:val="20"/>
                <w:szCs w:val="20"/>
              </w:rPr>
            </w:pPr>
          </w:p>
        </w:tc>
        <w:tc>
          <w:tcPr>
            <w:tcW w:w="705"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1E76EE" w:rsidRDefault="001E76EE" w14:paraId="73D06214" w14:textId="77777777">
            <w:pPr>
              <w:widowControl w:val="0"/>
              <w:jc w:val="center"/>
              <w:rPr>
                <w:b/>
                <w:color w:val="FFFFFF"/>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1C4F84B7" w14:textId="77777777">
            <w:pPr>
              <w:widowControl w:val="0"/>
              <w:rPr>
                <w:sz w:val="20"/>
                <w:szCs w:val="20"/>
              </w:rPr>
            </w:pPr>
          </w:p>
        </w:tc>
        <w:tc>
          <w:tcPr>
            <w:tcW w:w="1785" w:type="dxa"/>
            <w:tcBorders>
              <w:top w:val="nil"/>
              <w:left w:val="nil"/>
              <w:bottom w:val="single" w:color="D9D9D9" w:themeColor="background1" w:themeShade="D9" w:sz="4" w:space="0"/>
              <w:right w:val="nil"/>
            </w:tcBorders>
            <w:shd w:val="clear" w:color="auto" w:fill="073763"/>
            <w:tcMar>
              <w:top w:w="0" w:type="dxa"/>
              <w:left w:w="40" w:type="dxa"/>
              <w:bottom w:w="0" w:type="dxa"/>
              <w:right w:w="40" w:type="dxa"/>
            </w:tcMar>
            <w:vAlign w:val="center"/>
          </w:tcPr>
          <w:p w:rsidR="001E76EE" w:rsidRDefault="004828B5" w14:paraId="31A3263D" w14:textId="77777777">
            <w:pPr>
              <w:widowControl w:val="0"/>
              <w:jc w:val="center"/>
              <w:rPr>
                <w:b/>
                <w:color w:val="FFFFFF"/>
                <w:sz w:val="20"/>
                <w:szCs w:val="20"/>
              </w:rPr>
            </w:pPr>
            <w:r>
              <w:rPr>
                <w:b/>
                <w:color w:val="FFFFFF"/>
                <w:sz w:val="20"/>
                <w:szCs w:val="20"/>
              </w:rPr>
              <w:t>Related Datasets</w:t>
            </w:r>
          </w:p>
        </w:tc>
        <w:tc>
          <w:tcPr>
            <w:tcW w:w="2730" w:type="dxa"/>
            <w:tcBorders>
              <w:top w:val="nil"/>
              <w:left w:val="nil"/>
              <w:bottom w:val="single" w:color="D9D9D9" w:themeColor="background1" w:themeShade="D9" w:sz="4" w:space="0"/>
              <w:right w:val="nil"/>
            </w:tcBorders>
            <w:shd w:val="clear" w:color="auto" w:fill="F3F3F3"/>
            <w:tcMar>
              <w:top w:w="0" w:type="dxa"/>
              <w:left w:w="40" w:type="dxa"/>
              <w:bottom w:w="0" w:type="dxa"/>
              <w:right w:w="40" w:type="dxa"/>
            </w:tcMar>
            <w:vAlign w:val="center"/>
          </w:tcPr>
          <w:p w:rsidR="001E76EE" w:rsidRDefault="001E76EE" w14:paraId="5AFED01E" w14:textId="77777777">
            <w:pPr>
              <w:widowControl w:val="0"/>
              <w:rPr>
                <w:sz w:val="20"/>
                <w:szCs w:val="20"/>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7C83068E" w14:textId="77777777">
            <w:pPr>
              <w:widowControl w:val="0"/>
              <w:rPr>
                <w:sz w:val="20"/>
                <w:szCs w:val="20"/>
              </w:rPr>
            </w:pPr>
          </w:p>
        </w:tc>
      </w:tr>
      <w:tr w:rsidR="001E76EE" w:rsidTr="3FCDF590" w14:paraId="7D86C830" w14:textId="77777777">
        <w:trPr>
          <w:trHeight w:val="56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05EC72C2" w14:textId="77777777">
            <w:pPr>
              <w:widowControl w:val="0"/>
              <w:rPr>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0B5394"/>
            <w:tcMar>
              <w:top w:w="0" w:type="dxa"/>
              <w:left w:w="40" w:type="dxa"/>
              <w:bottom w:w="0" w:type="dxa"/>
              <w:right w:w="40" w:type="dxa"/>
            </w:tcMar>
            <w:vAlign w:val="center"/>
          </w:tcPr>
          <w:p w:rsidR="001E76EE" w:rsidRDefault="004828B5" w14:paraId="5AFB1FFE" w14:textId="77777777">
            <w:pPr>
              <w:widowControl w:val="0"/>
              <w:jc w:val="center"/>
              <w:rPr>
                <w:b/>
                <w:color w:val="FFFFFF"/>
                <w:sz w:val="20"/>
                <w:szCs w:val="20"/>
              </w:rPr>
            </w:pPr>
            <w:r>
              <w:rPr>
                <w:b/>
                <w:color w:val="FFFFFF"/>
                <w:sz w:val="20"/>
                <w:szCs w:val="20"/>
              </w:rPr>
              <w:t>Status</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vAlign w:val="center"/>
          </w:tcPr>
          <w:p w:rsidR="001E76EE" w:rsidRDefault="004828B5" w14:paraId="6F0730DB" w14:textId="77777777">
            <w:pPr>
              <w:widowControl w:val="0"/>
              <w:rPr>
                <w:sz w:val="20"/>
                <w:szCs w:val="20"/>
              </w:rPr>
            </w:pPr>
            <w:r>
              <w:rPr>
                <w:sz w:val="20"/>
                <w:szCs w:val="20"/>
              </w:rPr>
              <w:t>Published monthly</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01EA3CBF" w14:textId="77777777">
            <w:pPr>
              <w:widowControl w:val="0"/>
              <w:jc w:val="center"/>
              <w:rPr>
                <w:sz w:val="20"/>
                <w:szCs w:val="20"/>
              </w:rPr>
            </w:pPr>
          </w:p>
        </w:tc>
        <w:tc>
          <w:tcPr>
            <w:tcW w:w="4515" w:type="dxa"/>
            <w:gridSpan w:val="2"/>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0" w:type="dxa"/>
              <w:left w:w="40" w:type="dxa"/>
              <w:bottom w:w="0" w:type="dxa"/>
              <w:right w:w="40" w:type="dxa"/>
            </w:tcMar>
            <w:vAlign w:val="center"/>
          </w:tcPr>
          <w:p w:rsidR="001E76EE" w:rsidRDefault="004828B5" w14:paraId="1229102E" w14:textId="77777777">
            <w:pPr>
              <w:widowControl w:val="0"/>
              <w:spacing w:line="240" w:lineRule="auto"/>
              <w:rPr>
                <w:color w:val="0000FF"/>
                <w:sz w:val="20"/>
                <w:szCs w:val="20"/>
                <w:u w:val="single"/>
              </w:rPr>
            </w:pPr>
            <w:r>
              <w:rPr>
                <w:sz w:val="20"/>
                <w:szCs w:val="20"/>
              </w:rPr>
              <w:t xml:space="preserve">HMRC </w:t>
            </w:r>
            <w:hyperlink r:id="rId14">
              <w:r>
                <w:rPr>
                  <w:color w:val="0000FF"/>
                  <w:sz w:val="20"/>
                  <w:szCs w:val="20"/>
                  <w:u w:val="single"/>
                </w:rPr>
                <w:t>Overseas Trade Statistics</w:t>
              </w:r>
            </w:hyperlink>
          </w:p>
          <w:p w:rsidR="001E76EE" w:rsidRDefault="001E76EE" w14:paraId="4C5E6F4F" w14:textId="77777777">
            <w:pPr>
              <w:widowControl w:val="0"/>
              <w:spacing w:line="240" w:lineRule="auto"/>
              <w:rPr>
                <w:sz w:val="20"/>
                <w:szCs w:val="20"/>
              </w:rPr>
            </w:pPr>
          </w:p>
          <w:p w:rsidR="001E76EE" w:rsidRDefault="004828B5" w14:paraId="5DE0F5D3" w14:textId="77777777">
            <w:pPr>
              <w:widowControl w:val="0"/>
              <w:spacing w:line="240" w:lineRule="auto"/>
              <w:rPr>
                <w:sz w:val="20"/>
                <w:szCs w:val="20"/>
              </w:rPr>
            </w:pPr>
            <w:r>
              <w:rPr>
                <w:sz w:val="20"/>
                <w:szCs w:val="20"/>
              </w:rPr>
              <w:t xml:space="preserve">HMRC </w:t>
            </w:r>
            <w:hyperlink r:id="rId15">
              <w:r>
                <w:rPr>
                  <w:color w:val="0000FF"/>
                  <w:sz w:val="20"/>
                  <w:szCs w:val="20"/>
                  <w:u w:val="single"/>
                </w:rPr>
                <w:t>HMRC Regional Trade Statistics</w:t>
              </w:r>
            </w:hyperlink>
          </w:p>
          <w:p w:rsidR="001E76EE" w:rsidRDefault="001E76EE" w14:paraId="1A438E79" w14:textId="77777777">
            <w:pPr>
              <w:widowControl w:val="0"/>
              <w:spacing w:line="240" w:lineRule="auto"/>
              <w:jc w:val="center"/>
              <w:rPr>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2CBD843C" w14:textId="77777777">
            <w:pPr>
              <w:widowControl w:val="0"/>
              <w:rPr>
                <w:sz w:val="20"/>
                <w:szCs w:val="20"/>
              </w:rPr>
            </w:pPr>
          </w:p>
        </w:tc>
      </w:tr>
      <w:tr w:rsidR="001E76EE" w:rsidTr="3FCDF590" w14:paraId="46E86370" w14:textId="77777777">
        <w:trPr>
          <w:trHeight w:val="1320"/>
        </w:trPr>
        <w:tc>
          <w:tcPr>
            <w:tcW w:w="258" w:type="dxa"/>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36BAC3D6" w14:textId="77777777">
            <w:pPr>
              <w:widowControl w:val="0"/>
              <w:rPr>
                <w:sz w:val="20"/>
                <w:szCs w:val="20"/>
              </w:rPr>
            </w:pPr>
          </w:p>
        </w:tc>
        <w:tc>
          <w:tcPr>
            <w:tcW w:w="172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6AA84F"/>
            <w:tcMar>
              <w:top w:w="0" w:type="dxa"/>
              <w:left w:w="40" w:type="dxa"/>
              <w:bottom w:w="0" w:type="dxa"/>
              <w:right w:w="40" w:type="dxa"/>
            </w:tcMar>
            <w:vAlign w:val="center"/>
          </w:tcPr>
          <w:p w:rsidR="001E76EE" w:rsidRDefault="004828B5" w14:paraId="35F7BFE2" w14:textId="77777777">
            <w:pPr>
              <w:widowControl w:val="0"/>
              <w:jc w:val="center"/>
              <w:rPr>
                <w:b/>
                <w:color w:val="FFFFFF"/>
                <w:sz w:val="20"/>
                <w:szCs w:val="20"/>
              </w:rPr>
            </w:pPr>
            <w:r>
              <w:rPr>
                <w:b/>
                <w:color w:val="FFFFFF"/>
                <w:sz w:val="20"/>
                <w:szCs w:val="20"/>
              </w:rPr>
              <w:t>Strengths +</w:t>
            </w:r>
          </w:p>
        </w:tc>
        <w:tc>
          <w:tcPr>
            <w:tcW w:w="4095" w:type="dxa"/>
            <w:gridSpan w:val="4"/>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vAlign w:val="center"/>
          </w:tcPr>
          <w:p w:rsidR="001E76EE" w:rsidRDefault="004828B5" w14:paraId="7C892474" w14:textId="77777777">
            <w:pPr>
              <w:widowControl w:val="0"/>
              <w:numPr>
                <w:ilvl w:val="0"/>
                <w:numId w:val="3"/>
              </w:numPr>
              <w:pBdr>
                <w:top w:val="nil"/>
                <w:left w:val="nil"/>
                <w:bottom w:val="nil"/>
                <w:right w:val="nil"/>
                <w:between w:val="nil"/>
              </w:pBdr>
              <w:ind w:left="327" w:hanging="283"/>
              <w:rPr>
                <w:color w:val="000000"/>
                <w:sz w:val="20"/>
                <w:szCs w:val="20"/>
              </w:rPr>
            </w:pPr>
            <w:r>
              <w:rPr>
                <w:color w:val="000000"/>
                <w:sz w:val="20"/>
                <w:szCs w:val="20"/>
              </w:rPr>
              <w:t xml:space="preserve">Gives indication of who is participating in Non EU trade. </w:t>
            </w:r>
          </w:p>
          <w:p w:rsidR="001E76EE" w:rsidRDefault="004828B5" w14:paraId="344870CD" w14:textId="77777777">
            <w:pPr>
              <w:widowControl w:val="0"/>
              <w:numPr>
                <w:ilvl w:val="0"/>
                <w:numId w:val="3"/>
              </w:numPr>
              <w:pBdr>
                <w:top w:val="nil"/>
                <w:left w:val="nil"/>
                <w:bottom w:val="nil"/>
                <w:right w:val="nil"/>
                <w:between w:val="nil"/>
              </w:pBdr>
              <w:ind w:left="327" w:hanging="283"/>
              <w:rPr>
                <w:color w:val="000000"/>
                <w:sz w:val="20"/>
                <w:szCs w:val="20"/>
              </w:rPr>
            </w:pPr>
            <w:r>
              <w:rPr>
                <w:color w:val="000000"/>
                <w:sz w:val="20"/>
                <w:szCs w:val="20"/>
              </w:rPr>
              <w:t xml:space="preserve">Postcode information, indicator of location of business. </w:t>
            </w:r>
          </w:p>
        </w:tc>
        <w:tc>
          <w:tcPr>
            <w:tcW w:w="240" w:type="dxa"/>
            <w:tcBorders>
              <w:top w:val="nil"/>
              <w:left w:val="single" w:color="D9D9D9" w:themeColor="background1" w:themeShade="D9" w:sz="4" w:space="0"/>
              <w:bottom w:val="nil"/>
              <w:right w:val="single" w:color="D9D9D9" w:themeColor="background1" w:themeShade="D9" w:sz="4" w:space="0"/>
            </w:tcBorders>
            <w:shd w:val="clear" w:color="auto" w:fill="F3F3F3"/>
            <w:tcMar>
              <w:top w:w="0" w:type="dxa"/>
              <w:left w:w="40" w:type="dxa"/>
              <w:bottom w:w="0" w:type="dxa"/>
              <w:right w:w="40" w:type="dxa"/>
            </w:tcMar>
            <w:vAlign w:val="center"/>
          </w:tcPr>
          <w:p w:rsidR="001E76EE" w:rsidRDefault="001E76EE" w14:paraId="5A1C2949" w14:textId="77777777">
            <w:pPr>
              <w:widowControl w:val="0"/>
              <w:rPr>
                <w:sz w:val="20"/>
                <w:szCs w:val="20"/>
              </w:rPr>
            </w:pPr>
          </w:p>
        </w:tc>
        <w:tc>
          <w:tcPr>
            <w:tcW w:w="4515" w:type="dxa"/>
            <w:gridSpan w:val="2"/>
            <w:vMerge/>
            <w:tcBorders/>
            <w:tcMar>
              <w:top w:w="0" w:type="dxa"/>
              <w:left w:w="40" w:type="dxa"/>
              <w:bottom w:w="0" w:type="dxa"/>
              <w:right w:w="40" w:type="dxa"/>
            </w:tcMar>
            <w:vAlign w:val="center"/>
          </w:tcPr>
          <w:p w:rsidR="001E76EE" w:rsidRDefault="001E76EE" w14:paraId="0568B3EF" w14:textId="77777777">
            <w:pPr>
              <w:widowControl w:val="0"/>
              <w:pBdr>
                <w:top w:val="nil"/>
                <w:left w:val="nil"/>
                <w:bottom w:val="nil"/>
                <w:right w:val="nil"/>
                <w:between w:val="nil"/>
              </w:pBdr>
              <w:rPr>
                <w:sz w:val="20"/>
                <w:szCs w:val="20"/>
              </w:rPr>
            </w:pPr>
          </w:p>
        </w:tc>
        <w:tc>
          <w:tcPr>
            <w:tcW w:w="240" w:type="dxa"/>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1CCB8635" w14:textId="77777777">
            <w:pPr>
              <w:widowControl w:val="0"/>
              <w:rPr>
                <w:sz w:val="20"/>
                <w:szCs w:val="20"/>
              </w:rPr>
            </w:pPr>
          </w:p>
        </w:tc>
      </w:tr>
      <w:tr w:rsidR="001E76EE" w:rsidTr="3FCDF590" w14:paraId="2F4BB145" w14:textId="77777777">
        <w:trPr>
          <w:trHeight w:val="560"/>
        </w:trPr>
        <w:tc>
          <w:tcPr>
            <w:tcW w:w="258" w:type="dxa"/>
            <w:vMerge w:val="restart"/>
            <w:tcBorders>
              <w:top w:val="nil"/>
              <w:left w:val="nil"/>
              <w:bottom w:val="nil"/>
              <w:right w:val="single" w:color="D9D9D9" w:themeColor="background1" w:themeShade="D9" w:sz="4" w:space="0"/>
            </w:tcBorders>
            <w:shd w:val="clear" w:color="auto" w:fill="F3F3F3"/>
            <w:tcMar>
              <w:top w:w="0" w:type="dxa"/>
              <w:left w:w="40" w:type="dxa"/>
              <w:bottom w:w="0" w:type="dxa"/>
              <w:right w:w="40" w:type="dxa"/>
            </w:tcMar>
            <w:vAlign w:val="bottom"/>
          </w:tcPr>
          <w:p w:rsidR="001E76EE" w:rsidRDefault="001E76EE" w14:paraId="5C3BA4C4" w14:textId="77777777">
            <w:pPr>
              <w:widowControl w:val="0"/>
              <w:rPr>
                <w:sz w:val="20"/>
                <w:szCs w:val="20"/>
              </w:rPr>
            </w:pPr>
          </w:p>
        </w:tc>
        <w:tc>
          <w:tcPr>
            <w:tcW w:w="1725" w:type="dxa"/>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E06666"/>
            <w:tcMar>
              <w:top w:w="0" w:type="dxa"/>
              <w:left w:w="40" w:type="dxa"/>
              <w:bottom w:w="0" w:type="dxa"/>
              <w:right w:w="40" w:type="dxa"/>
            </w:tcMar>
            <w:vAlign w:val="center"/>
          </w:tcPr>
          <w:p w:rsidR="001E76EE" w:rsidRDefault="004828B5" w14:paraId="772CCE50" w14:textId="77777777">
            <w:pPr>
              <w:widowControl w:val="0"/>
              <w:jc w:val="center"/>
              <w:rPr>
                <w:b/>
                <w:color w:val="FFFFFF"/>
                <w:sz w:val="20"/>
                <w:szCs w:val="20"/>
              </w:rPr>
            </w:pPr>
            <w:r>
              <w:rPr>
                <w:b/>
                <w:color w:val="FFFFFF"/>
                <w:sz w:val="20"/>
                <w:szCs w:val="20"/>
              </w:rPr>
              <w:t xml:space="preserve">Weaknesses - </w:t>
            </w:r>
          </w:p>
        </w:tc>
        <w:tc>
          <w:tcPr>
            <w:tcW w:w="4095" w:type="dxa"/>
            <w:gridSpan w:val="4"/>
            <w:vMerge w:val="restart"/>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tcMar>
              <w:top w:w="100" w:type="dxa"/>
              <w:left w:w="100" w:type="dxa"/>
              <w:bottom w:w="100" w:type="dxa"/>
              <w:right w:w="100" w:type="dxa"/>
            </w:tcMar>
            <w:vAlign w:val="center"/>
          </w:tcPr>
          <w:p w:rsidR="001E76EE" w:rsidRDefault="004828B5" w14:paraId="0CF3CE79" w14:textId="77777777">
            <w:pPr>
              <w:widowControl w:val="0"/>
              <w:numPr>
                <w:ilvl w:val="0"/>
                <w:numId w:val="4"/>
              </w:numPr>
              <w:pBdr>
                <w:top w:val="nil"/>
                <w:left w:val="nil"/>
                <w:bottom w:val="nil"/>
                <w:right w:val="nil"/>
                <w:between w:val="nil"/>
              </w:pBdr>
              <w:ind w:left="327" w:hanging="283"/>
              <w:rPr>
                <w:color w:val="000000"/>
                <w:sz w:val="20"/>
                <w:szCs w:val="20"/>
              </w:rPr>
            </w:pPr>
            <w:r>
              <w:rPr>
                <w:color w:val="000000"/>
                <w:sz w:val="20"/>
                <w:szCs w:val="20"/>
              </w:rPr>
              <w:t>There are no values of trade</w:t>
            </w:r>
          </w:p>
          <w:p w:rsidR="001E76EE" w:rsidRDefault="004828B5" w14:paraId="0044B1BB" w14:textId="77777777">
            <w:pPr>
              <w:widowControl w:val="0"/>
              <w:numPr>
                <w:ilvl w:val="0"/>
                <w:numId w:val="4"/>
              </w:numPr>
              <w:pBdr>
                <w:top w:val="nil"/>
                <w:left w:val="nil"/>
                <w:bottom w:val="nil"/>
                <w:right w:val="nil"/>
                <w:between w:val="nil"/>
              </w:pBdr>
              <w:ind w:left="327" w:hanging="283"/>
              <w:rPr>
                <w:color w:val="000000"/>
                <w:sz w:val="20"/>
                <w:szCs w:val="20"/>
              </w:rPr>
            </w:pPr>
            <w:r>
              <w:rPr>
                <w:color w:val="000000"/>
                <w:sz w:val="20"/>
                <w:szCs w:val="20"/>
              </w:rPr>
              <w:t>Non-EU trade only</w:t>
            </w:r>
          </w:p>
          <w:p w:rsidR="001E76EE" w:rsidRDefault="004828B5" w14:paraId="66630821" w14:textId="77777777">
            <w:pPr>
              <w:widowControl w:val="0"/>
              <w:numPr>
                <w:ilvl w:val="0"/>
                <w:numId w:val="4"/>
              </w:numPr>
              <w:pBdr>
                <w:top w:val="nil"/>
                <w:left w:val="nil"/>
                <w:bottom w:val="nil"/>
                <w:right w:val="nil"/>
                <w:between w:val="nil"/>
              </w:pBdr>
              <w:ind w:left="327" w:hanging="283"/>
              <w:rPr>
                <w:color w:val="000000"/>
                <w:sz w:val="20"/>
                <w:szCs w:val="20"/>
              </w:rPr>
            </w:pPr>
            <w:r>
              <w:rPr>
                <w:color w:val="000000"/>
                <w:sz w:val="20"/>
                <w:szCs w:val="20"/>
              </w:rPr>
              <w:t>No Partner Country details</w:t>
            </w:r>
          </w:p>
          <w:p w:rsidR="001E76EE" w:rsidRDefault="004828B5" w14:paraId="003BD8D9" w14:textId="77777777">
            <w:pPr>
              <w:widowControl w:val="0"/>
              <w:numPr>
                <w:ilvl w:val="0"/>
                <w:numId w:val="4"/>
              </w:numPr>
              <w:pBdr>
                <w:top w:val="nil"/>
                <w:left w:val="nil"/>
                <w:bottom w:val="nil"/>
                <w:right w:val="nil"/>
                <w:between w:val="nil"/>
              </w:pBdr>
              <w:ind w:left="327" w:hanging="283"/>
              <w:rPr>
                <w:color w:val="000000"/>
                <w:sz w:val="20"/>
                <w:szCs w:val="20"/>
              </w:rPr>
            </w:pPr>
            <w:r>
              <w:rPr>
                <w:color w:val="000000"/>
                <w:sz w:val="20"/>
                <w:szCs w:val="20"/>
              </w:rPr>
              <w:t xml:space="preserve">Is often misinterpreted as a business count but some businesses are not included due to the opt-out option and </w:t>
            </w:r>
            <w:r>
              <w:rPr>
                <w:color w:val="000000"/>
                <w:sz w:val="20"/>
                <w:szCs w:val="20"/>
              </w:rPr>
              <w:lastRenderedPageBreak/>
              <w:t>due to other suppression procedures</w:t>
            </w:r>
          </w:p>
          <w:p w:rsidR="001E76EE" w:rsidRDefault="004828B5" w14:paraId="12FAAC31" w14:textId="77777777">
            <w:pPr>
              <w:widowControl w:val="0"/>
              <w:numPr>
                <w:ilvl w:val="0"/>
                <w:numId w:val="4"/>
              </w:numPr>
              <w:pBdr>
                <w:top w:val="nil"/>
                <w:left w:val="nil"/>
                <w:bottom w:val="nil"/>
                <w:right w:val="nil"/>
                <w:between w:val="nil"/>
              </w:pBdr>
              <w:ind w:left="327" w:hanging="283"/>
              <w:rPr>
                <w:color w:val="000000"/>
                <w:sz w:val="20"/>
                <w:szCs w:val="20"/>
              </w:rPr>
            </w:pPr>
            <w:r>
              <w:rPr>
                <w:color w:val="000000"/>
                <w:sz w:val="20"/>
                <w:szCs w:val="20"/>
              </w:rPr>
              <w:t>Not complete (see opt</w:t>
            </w:r>
            <w:r>
              <w:rPr>
                <w:color w:val="000000"/>
                <w:sz w:val="20"/>
                <w:szCs w:val="20"/>
              </w:rPr>
              <w:t>-out and suppression above)</w:t>
            </w:r>
          </w:p>
          <w:p w:rsidR="001E76EE" w:rsidRDefault="004828B5" w14:paraId="35AC7F7D" w14:textId="77777777">
            <w:pPr>
              <w:widowControl w:val="0"/>
              <w:numPr>
                <w:ilvl w:val="0"/>
                <w:numId w:val="4"/>
              </w:numPr>
              <w:pBdr>
                <w:top w:val="nil"/>
                <w:left w:val="nil"/>
                <w:bottom w:val="nil"/>
                <w:right w:val="nil"/>
                <w:between w:val="nil"/>
              </w:pBdr>
              <w:ind w:left="327" w:hanging="283"/>
              <w:rPr>
                <w:color w:val="000000"/>
                <w:sz w:val="20"/>
                <w:szCs w:val="20"/>
              </w:rPr>
            </w:pPr>
            <w:r>
              <w:rPr>
                <w:color w:val="000000"/>
                <w:sz w:val="20"/>
                <w:szCs w:val="20"/>
              </w:rPr>
              <w:t xml:space="preserve">Postcode and location data will not align with RTS due to RTS methodology using IDBR and employee allocation. </w:t>
            </w:r>
          </w:p>
          <w:p w:rsidR="001E76EE" w:rsidRDefault="001E76EE" w14:paraId="35A39C48" w14:textId="77777777">
            <w:pPr>
              <w:widowControl w:val="0"/>
              <w:ind w:left="327" w:hanging="283"/>
              <w:jc w:val="center"/>
              <w:rPr>
                <w:sz w:val="20"/>
                <w:szCs w:val="20"/>
              </w:rPr>
            </w:pPr>
          </w:p>
          <w:p w:rsidR="001E76EE" w:rsidRDefault="001E76EE" w14:paraId="60AF5936" w14:textId="77777777">
            <w:pPr>
              <w:widowControl w:val="0"/>
              <w:ind w:left="327" w:hanging="283"/>
              <w:jc w:val="center"/>
              <w:rPr>
                <w:sz w:val="20"/>
                <w:szCs w:val="20"/>
              </w:rPr>
            </w:pP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41FE4B67" w14:textId="77777777">
            <w:pPr>
              <w:widowControl w:val="0"/>
              <w:rPr>
                <w:sz w:val="20"/>
                <w:szCs w:val="20"/>
              </w:rPr>
            </w:pPr>
          </w:p>
        </w:tc>
        <w:tc>
          <w:tcPr>
            <w:tcW w:w="4515" w:type="dxa"/>
            <w:gridSpan w:val="2"/>
            <w:vMerge/>
            <w:tcBorders/>
            <w:tcMar>
              <w:top w:w="0" w:type="dxa"/>
              <w:left w:w="40" w:type="dxa"/>
              <w:bottom w:w="0" w:type="dxa"/>
              <w:right w:w="40" w:type="dxa"/>
            </w:tcMar>
            <w:vAlign w:val="center"/>
          </w:tcPr>
          <w:p w:rsidR="001E76EE" w:rsidRDefault="001E76EE" w14:paraId="539F7FA4" w14:textId="77777777">
            <w:pPr>
              <w:widowControl w:val="0"/>
              <w:pBdr>
                <w:top w:val="nil"/>
                <w:left w:val="nil"/>
                <w:bottom w:val="nil"/>
                <w:right w:val="nil"/>
                <w:between w:val="nil"/>
              </w:pBdr>
              <w:rPr>
                <w:sz w:val="20"/>
                <w:szCs w:val="20"/>
              </w:rPr>
            </w:pPr>
          </w:p>
        </w:tc>
        <w:tc>
          <w:tcPr>
            <w:tcW w:w="240" w:type="dxa"/>
            <w:vMerge w:val="restart"/>
            <w:tcBorders>
              <w:top w:val="nil"/>
              <w:left w:val="single" w:color="D9D9D9" w:themeColor="background1" w:themeShade="D9" w:sz="4" w:space="0"/>
              <w:bottom w:val="nil"/>
              <w:right w:val="nil"/>
            </w:tcBorders>
            <w:shd w:val="clear" w:color="auto" w:fill="F3F3F3"/>
            <w:tcMar>
              <w:top w:w="0" w:type="dxa"/>
              <w:left w:w="40" w:type="dxa"/>
              <w:bottom w:w="0" w:type="dxa"/>
              <w:right w:w="40" w:type="dxa"/>
            </w:tcMar>
            <w:vAlign w:val="center"/>
          </w:tcPr>
          <w:p w:rsidR="001E76EE" w:rsidRDefault="001E76EE" w14:paraId="28F08C86" w14:textId="77777777">
            <w:pPr>
              <w:widowControl w:val="0"/>
              <w:rPr>
                <w:sz w:val="20"/>
                <w:szCs w:val="20"/>
              </w:rPr>
            </w:pPr>
          </w:p>
        </w:tc>
      </w:tr>
      <w:tr w:rsidR="001E76EE" w:rsidTr="3FCDF590" w14:paraId="61D08282" w14:textId="77777777">
        <w:trPr>
          <w:trHeight w:val="900"/>
        </w:trPr>
        <w:tc>
          <w:tcPr>
            <w:tcW w:w="258" w:type="dxa"/>
            <w:vMerge/>
            <w:tcBorders/>
            <w:tcMar>
              <w:top w:w="0" w:type="dxa"/>
              <w:left w:w="40" w:type="dxa"/>
              <w:bottom w:w="0" w:type="dxa"/>
              <w:right w:w="40" w:type="dxa"/>
            </w:tcMar>
            <w:vAlign w:val="bottom"/>
          </w:tcPr>
          <w:p w:rsidR="001E76EE" w:rsidRDefault="001E76EE" w14:paraId="05DC6D93" w14:textId="77777777">
            <w:pPr>
              <w:widowControl w:val="0"/>
              <w:pBdr>
                <w:top w:val="nil"/>
                <w:left w:val="nil"/>
                <w:bottom w:val="nil"/>
                <w:right w:val="nil"/>
                <w:between w:val="nil"/>
              </w:pBdr>
              <w:rPr>
                <w:sz w:val="20"/>
                <w:szCs w:val="20"/>
              </w:rPr>
            </w:pPr>
          </w:p>
        </w:tc>
        <w:tc>
          <w:tcPr>
            <w:tcW w:w="1725" w:type="dxa"/>
            <w:vMerge/>
            <w:tcBorders/>
            <w:tcMar>
              <w:top w:w="0" w:type="dxa"/>
              <w:left w:w="40" w:type="dxa"/>
              <w:bottom w:w="0" w:type="dxa"/>
              <w:right w:w="40" w:type="dxa"/>
            </w:tcMar>
            <w:vAlign w:val="center"/>
          </w:tcPr>
          <w:p w:rsidR="001E76EE" w:rsidRDefault="001E76EE" w14:paraId="74645B25" w14:textId="77777777">
            <w:pPr>
              <w:widowControl w:val="0"/>
              <w:pBdr>
                <w:top w:val="nil"/>
                <w:left w:val="nil"/>
                <w:bottom w:val="nil"/>
                <w:right w:val="nil"/>
                <w:between w:val="nil"/>
              </w:pBdr>
              <w:rPr>
                <w:sz w:val="20"/>
                <w:szCs w:val="20"/>
              </w:rPr>
            </w:pPr>
          </w:p>
        </w:tc>
        <w:tc>
          <w:tcPr>
            <w:tcW w:w="4095" w:type="dxa"/>
            <w:gridSpan w:val="4"/>
            <w:vMerge/>
            <w:tcBorders/>
            <w:tcMar>
              <w:top w:w="100" w:type="dxa"/>
              <w:left w:w="100" w:type="dxa"/>
              <w:bottom w:w="100" w:type="dxa"/>
              <w:right w:w="100" w:type="dxa"/>
            </w:tcMar>
            <w:vAlign w:val="center"/>
          </w:tcPr>
          <w:p w:rsidR="001E76EE" w:rsidRDefault="001E76EE" w14:paraId="490983DE"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1E76EE" w:rsidRDefault="001E76EE" w14:paraId="0D14A502" w14:textId="77777777">
            <w:pPr>
              <w:widowControl w:val="0"/>
              <w:pBdr>
                <w:top w:val="nil"/>
                <w:left w:val="nil"/>
                <w:bottom w:val="nil"/>
                <w:right w:val="nil"/>
                <w:between w:val="nil"/>
              </w:pBdr>
              <w:rPr>
                <w:sz w:val="20"/>
                <w:szCs w:val="20"/>
              </w:rPr>
            </w:pPr>
          </w:p>
        </w:tc>
        <w:tc>
          <w:tcPr>
            <w:tcW w:w="4515" w:type="dxa"/>
            <w:gridSpan w:val="2"/>
            <w:vMerge/>
            <w:tcBorders/>
            <w:tcMar>
              <w:top w:w="0" w:type="dxa"/>
              <w:left w:w="40" w:type="dxa"/>
              <w:bottom w:w="0" w:type="dxa"/>
              <w:right w:w="40" w:type="dxa"/>
            </w:tcMar>
            <w:vAlign w:val="center"/>
          </w:tcPr>
          <w:p w:rsidR="001E76EE" w:rsidRDefault="001E76EE" w14:paraId="6C0AEA88"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1E76EE" w:rsidRDefault="001E76EE" w14:paraId="79D45512" w14:textId="77777777">
            <w:pPr>
              <w:widowControl w:val="0"/>
              <w:pBdr>
                <w:top w:val="nil"/>
                <w:left w:val="nil"/>
                <w:bottom w:val="nil"/>
                <w:right w:val="nil"/>
                <w:between w:val="nil"/>
              </w:pBdr>
              <w:rPr>
                <w:sz w:val="20"/>
                <w:szCs w:val="20"/>
              </w:rPr>
            </w:pPr>
          </w:p>
        </w:tc>
      </w:tr>
      <w:tr w:rsidR="001E76EE" w:rsidTr="3FCDF590" w14:paraId="18EFA20A" w14:textId="77777777">
        <w:trPr>
          <w:trHeight w:val="400"/>
        </w:trPr>
        <w:tc>
          <w:tcPr>
            <w:tcW w:w="258" w:type="dxa"/>
            <w:vMerge/>
            <w:tcBorders/>
            <w:tcMar>
              <w:top w:w="0" w:type="dxa"/>
              <w:left w:w="40" w:type="dxa"/>
              <w:bottom w:w="0" w:type="dxa"/>
              <w:right w:w="40" w:type="dxa"/>
            </w:tcMar>
            <w:vAlign w:val="bottom"/>
          </w:tcPr>
          <w:p w:rsidR="001E76EE" w:rsidRDefault="001E76EE" w14:paraId="172B8F85" w14:textId="77777777">
            <w:pPr>
              <w:widowControl w:val="0"/>
              <w:pBdr>
                <w:top w:val="nil"/>
                <w:left w:val="nil"/>
                <w:bottom w:val="nil"/>
                <w:right w:val="nil"/>
                <w:between w:val="nil"/>
              </w:pBdr>
              <w:rPr>
                <w:sz w:val="20"/>
                <w:szCs w:val="20"/>
              </w:rPr>
            </w:pPr>
          </w:p>
        </w:tc>
        <w:tc>
          <w:tcPr>
            <w:tcW w:w="1725" w:type="dxa"/>
            <w:vMerge/>
            <w:tcBorders/>
            <w:tcMar>
              <w:top w:w="0" w:type="dxa"/>
              <w:left w:w="40" w:type="dxa"/>
              <w:bottom w:w="0" w:type="dxa"/>
              <w:right w:w="40" w:type="dxa"/>
            </w:tcMar>
            <w:vAlign w:val="center"/>
          </w:tcPr>
          <w:p w:rsidR="001E76EE" w:rsidRDefault="001E76EE" w14:paraId="7D2D9011" w14:textId="77777777">
            <w:pPr>
              <w:widowControl w:val="0"/>
              <w:pBdr>
                <w:top w:val="nil"/>
                <w:left w:val="nil"/>
                <w:bottom w:val="nil"/>
                <w:right w:val="nil"/>
                <w:between w:val="nil"/>
              </w:pBdr>
              <w:rPr>
                <w:sz w:val="20"/>
                <w:szCs w:val="20"/>
              </w:rPr>
            </w:pPr>
          </w:p>
        </w:tc>
        <w:tc>
          <w:tcPr>
            <w:tcW w:w="4095" w:type="dxa"/>
            <w:gridSpan w:val="4"/>
            <w:vMerge/>
            <w:tcBorders/>
            <w:tcMar>
              <w:top w:w="100" w:type="dxa"/>
              <w:left w:w="100" w:type="dxa"/>
              <w:bottom w:w="100" w:type="dxa"/>
              <w:right w:w="100" w:type="dxa"/>
            </w:tcMar>
            <w:vAlign w:val="center"/>
          </w:tcPr>
          <w:p w:rsidR="001E76EE" w:rsidRDefault="001E76EE" w14:paraId="57FCE990"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1E76EE" w:rsidRDefault="001E76EE" w14:paraId="1C99303A" w14:textId="77777777">
            <w:pPr>
              <w:widowControl w:val="0"/>
              <w:pBdr>
                <w:top w:val="nil"/>
                <w:left w:val="nil"/>
                <w:bottom w:val="nil"/>
                <w:right w:val="nil"/>
                <w:between w:val="nil"/>
              </w:pBdr>
              <w:rPr>
                <w:sz w:val="20"/>
                <w:szCs w:val="20"/>
              </w:rPr>
            </w:pPr>
          </w:p>
        </w:tc>
        <w:tc>
          <w:tcPr>
            <w:tcW w:w="4515" w:type="dxa"/>
            <w:gridSpan w:val="2"/>
            <w:vMerge/>
            <w:tcBorders/>
            <w:tcMar>
              <w:top w:w="0" w:type="dxa"/>
              <w:left w:w="40" w:type="dxa"/>
              <w:bottom w:w="0" w:type="dxa"/>
              <w:right w:w="40" w:type="dxa"/>
            </w:tcMar>
            <w:vAlign w:val="center"/>
          </w:tcPr>
          <w:p w:rsidR="001E76EE" w:rsidRDefault="001E76EE" w14:paraId="3BDBDEA9"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1E76EE" w:rsidRDefault="001E76EE" w14:paraId="7CF9DF12" w14:textId="77777777">
            <w:pPr>
              <w:widowControl w:val="0"/>
              <w:pBdr>
                <w:top w:val="nil"/>
                <w:left w:val="nil"/>
                <w:bottom w:val="nil"/>
                <w:right w:val="nil"/>
                <w:between w:val="nil"/>
              </w:pBdr>
              <w:rPr>
                <w:sz w:val="20"/>
                <w:szCs w:val="20"/>
              </w:rPr>
            </w:pPr>
          </w:p>
        </w:tc>
      </w:tr>
      <w:tr w:rsidR="001E76EE" w:rsidTr="3FCDF590" w14:paraId="0E951138" w14:textId="77777777">
        <w:trPr>
          <w:trHeight w:val="264"/>
        </w:trPr>
        <w:tc>
          <w:tcPr>
            <w:tcW w:w="258" w:type="dxa"/>
            <w:vMerge/>
            <w:tcBorders/>
            <w:tcMar>
              <w:top w:w="0" w:type="dxa"/>
              <w:left w:w="40" w:type="dxa"/>
              <w:bottom w:w="0" w:type="dxa"/>
              <w:right w:w="40" w:type="dxa"/>
            </w:tcMar>
            <w:vAlign w:val="bottom"/>
          </w:tcPr>
          <w:p w:rsidR="001E76EE" w:rsidRDefault="001E76EE" w14:paraId="3C280DB5" w14:textId="77777777">
            <w:pPr>
              <w:widowControl w:val="0"/>
              <w:pBdr>
                <w:top w:val="nil"/>
                <w:left w:val="nil"/>
                <w:bottom w:val="nil"/>
                <w:right w:val="nil"/>
                <w:between w:val="nil"/>
              </w:pBdr>
              <w:rPr>
                <w:sz w:val="20"/>
                <w:szCs w:val="20"/>
              </w:rPr>
            </w:pPr>
          </w:p>
        </w:tc>
        <w:tc>
          <w:tcPr>
            <w:tcW w:w="1725" w:type="dxa"/>
            <w:vMerge/>
            <w:tcBorders/>
            <w:tcMar>
              <w:top w:w="0" w:type="dxa"/>
              <w:left w:w="40" w:type="dxa"/>
              <w:bottom w:w="0" w:type="dxa"/>
              <w:right w:w="40" w:type="dxa"/>
            </w:tcMar>
            <w:vAlign w:val="center"/>
          </w:tcPr>
          <w:p w:rsidR="001E76EE" w:rsidRDefault="001E76EE" w14:paraId="67A2BBCF" w14:textId="77777777">
            <w:pPr>
              <w:widowControl w:val="0"/>
              <w:pBdr>
                <w:top w:val="nil"/>
                <w:left w:val="nil"/>
                <w:bottom w:val="nil"/>
                <w:right w:val="nil"/>
                <w:between w:val="nil"/>
              </w:pBdr>
              <w:rPr>
                <w:sz w:val="20"/>
                <w:szCs w:val="20"/>
              </w:rPr>
            </w:pPr>
          </w:p>
        </w:tc>
        <w:tc>
          <w:tcPr>
            <w:tcW w:w="4095" w:type="dxa"/>
            <w:gridSpan w:val="4"/>
            <w:vMerge/>
            <w:tcBorders/>
            <w:tcMar>
              <w:top w:w="100" w:type="dxa"/>
              <w:left w:w="100" w:type="dxa"/>
              <w:bottom w:w="100" w:type="dxa"/>
              <w:right w:w="100" w:type="dxa"/>
            </w:tcMar>
            <w:vAlign w:val="center"/>
          </w:tcPr>
          <w:p w:rsidR="001E76EE" w:rsidRDefault="001E76EE" w14:paraId="690BD2FB"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1E76EE" w:rsidRDefault="001E76EE" w14:paraId="05A9DEC6" w14:textId="77777777">
            <w:pPr>
              <w:widowControl w:val="0"/>
              <w:pBdr>
                <w:top w:val="nil"/>
                <w:left w:val="nil"/>
                <w:bottom w:val="nil"/>
                <w:right w:val="nil"/>
                <w:between w:val="nil"/>
              </w:pBdr>
              <w:rPr>
                <w:sz w:val="20"/>
                <w:szCs w:val="20"/>
              </w:rPr>
            </w:pPr>
          </w:p>
        </w:tc>
        <w:tc>
          <w:tcPr>
            <w:tcW w:w="4515" w:type="dxa"/>
            <w:gridSpan w:val="2"/>
            <w:vMerge/>
            <w:tcBorders/>
            <w:tcMar>
              <w:top w:w="0" w:type="dxa"/>
              <w:left w:w="40" w:type="dxa"/>
              <w:bottom w:w="0" w:type="dxa"/>
              <w:right w:w="40" w:type="dxa"/>
            </w:tcMar>
            <w:vAlign w:val="center"/>
          </w:tcPr>
          <w:p w:rsidR="001E76EE" w:rsidRDefault="001E76EE" w14:paraId="60D40182" w14:textId="77777777">
            <w:pPr>
              <w:widowControl w:val="0"/>
              <w:pBdr>
                <w:top w:val="nil"/>
                <w:left w:val="nil"/>
                <w:bottom w:val="nil"/>
                <w:right w:val="nil"/>
                <w:between w:val="nil"/>
              </w:pBdr>
              <w:rPr>
                <w:sz w:val="20"/>
                <w:szCs w:val="20"/>
              </w:rPr>
            </w:pPr>
          </w:p>
        </w:tc>
        <w:tc>
          <w:tcPr>
            <w:tcW w:w="240" w:type="dxa"/>
            <w:vMerge/>
            <w:tcBorders/>
            <w:tcMar>
              <w:top w:w="0" w:type="dxa"/>
              <w:left w:w="40" w:type="dxa"/>
              <w:bottom w:w="0" w:type="dxa"/>
              <w:right w:w="40" w:type="dxa"/>
            </w:tcMar>
            <w:vAlign w:val="center"/>
          </w:tcPr>
          <w:p w:rsidR="001E76EE" w:rsidRDefault="001E76EE" w14:paraId="404ABF2E" w14:textId="77777777">
            <w:pPr>
              <w:widowControl w:val="0"/>
              <w:pBdr>
                <w:top w:val="nil"/>
                <w:left w:val="nil"/>
                <w:bottom w:val="nil"/>
                <w:right w:val="nil"/>
                <w:between w:val="nil"/>
              </w:pBdr>
              <w:rPr>
                <w:sz w:val="20"/>
                <w:szCs w:val="20"/>
              </w:rPr>
            </w:pPr>
          </w:p>
        </w:tc>
      </w:tr>
      <w:tr w:rsidR="001E76EE" w:rsidTr="3FCDF590" w14:paraId="13BD0760" w14:textId="77777777">
        <w:trPr>
          <w:trHeight w:val="360"/>
        </w:trPr>
        <w:tc>
          <w:tcPr>
            <w:tcW w:w="258"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07C24C17" w14:textId="77777777">
            <w:pPr>
              <w:widowControl w:val="0"/>
              <w:jc w:val="center"/>
              <w:rPr>
                <w:b/>
                <w:color w:val="FFFFFF"/>
                <w:sz w:val="20"/>
                <w:szCs w:val="20"/>
              </w:rPr>
            </w:pPr>
          </w:p>
        </w:tc>
        <w:tc>
          <w:tcPr>
            <w:tcW w:w="10575" w:type="dxa"/>
            <w:gridSpan w:val="8"/>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43EDD16B" w14:textId="77777777">
            <w:pPr>
              <w:widowControl w:val="0"/>
              <w:jc w:val="center"/>
              <w:rPr>
                <w:i/>
                <w:color w:val="FFFFFF"/>
                <w:sz w:val="18"/>
                <w:szCs w:val="18"/>
              </w:rPr>
            </w:pPr>
          </w:p>
        </w:tc>
        <w:tc>
          <w:tcPr>
            <w:tcW w:w="240" w:type="dxa"/>
            <w:tcBorders>
              <w:top w:val="nil"/>
              <w:left w:val="nil"/>
              <w:bottom w:val="nil"/>
              <w:right w:val="nil"/>
            </w:tcBorders>
            <w:shd w:val="clear" w:color="auto" w:fill="F3F3F3"/>
            <w:tcMar>
              <w:top w:w="0" w:type="dxa"/>
              <w:left w:w="40" w:type="dxa"/>
              <w:bottom w:w="0" w:type="dxa"/>
              <w:right w:w="40" w:type="dxa"/>
            </w:tcMar>
            <w:vAlign w:val="center"/>
          </w:tcPr>
          <w:p w:rsidR="001E76EE" w:rsidRDefault="001E76EE" w14:paraId="1587BF27" w14:textId="77777777">
            <w:pPr>
              <w:widowControl w:val="0"/>
              <w:rPr>
                <w:sz w:val="20"/>
                <w:szCs w:val="20"/>
              </w:rPr>
            </w:pPr>
          </w:p>
        </w:tc>
      </w:tr>
    </w:tbl>
    <w:p w:rsidR="001E76EE" w:rsidRDefault="001E76EE" w14:paraId="55D096EF" w14:textId="77777777"/>
    <w:sectPr w:rsidR="001E76EE">
      <w:headerReference w:type="even" r:id="rId16"/>
      <w:headerReference w:type="default" r:id="rId17"/>
      <w:footerReference w:type="even" r:id="rId18"/>
      <w:footerReference w:type="default" r:id="rId19"/>
      <w:headerReference w:type="first" r:id="rId20"/>
      <w:footerReference w:type="first" r:id="rId21"/>
      <w:pgSz w:w="12240" w:h="15840" w:orient="portrait"/>
      <w:pgMar w:top="0" w:right="566" w:bottom="0" w:left="56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8B5" w:rsidRDefault="004828B5" w14:paraId="5D77A011" w14:textId="77777777">
      <w:pPr>
        <w:spacing w:line="240" w:lineRule="auto"/>
      </w:pPr>
      <w:r>
        <w:separator/>
      </w:r>
    </w:p>
  </w:endnote>
  <w:endnote w:type="continuationSeparator" w:id="0">
    <w:p w:rsidR="004828B5" w:rsidRDefault="004828B5" w14:paraId="504E512A"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79" w:rsidRDefault="00BD4579" w14:paraId="46B4357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79" w:rsidRDefault="00BD4579" w14:paraId="3CDF42D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79" w:rsidRDefault="00BD4579" w14:paraId="2214DA7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8B5" w:rsidRDefault="004828B5" w14:paraId="6F6B9364" w14:textId="77777777">
      <w:pPr>
        <w:spacing w:line="240" w:lineRule="auto"/>
      </w:pPr>
      <w:r>
        <w:separator/>
      </w:r>
    </w:p>
  </w:footnote>
  <w:footnote w:type="continuationSeparator" w:id="0">
    <w:p w:rsidR="004828B5" w:rsidRDefault="004828B5" w14:paraId="302FA477"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79" w:rsidRDefault="00BD4579" w14:paraId="6460B908"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6EE" w:rsidRDefault="001E76EE" w14:paraId="0DC37BFC" w14:textId="20B67220">
    <w:pPr>
      <w:jc w:val="center"/>
      <w:rPr>
        <w:b/>
      </w:rPr>
    </w:pPr>
    <w:bookmarkStart w:name="_GoBack" w:id="2"/>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579" w:rsidRDefault="00BD4579" w14:paraId="2033BF0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5729C"/>
    <w:multiLevelType w:val="multilevel"/>
    <w:tmpl w:val="21701E6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62C8590A"/>
    <w:multiLevelType w:val="multilevel"/>
    <w:tmpl w:val="528635DE"/>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15:restartNumberingAfterBreak="0">
    <w:nsid w:val="78A10AED"/>
    <w:multiLevelType w:val="multilevel"/>
    <w:tmpl w:val="AAE0E490"/>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15:restartNumberingAfterBreak="0">
    <w:nsid w:val="7EED139E"/>
    <w:multiLevelType w:val="multilevel"/>
    <w:tmpl w:val="ACA8392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6EE"/>
    <w:rsid w:val="001E76EE"/>
    <w:rsid w:val="004828B5"/>
    <w:rsid w:val="00BD4579"/>
    <w:rsid w:val="3FCDF5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2F6340"/>
  <w15:docId w15:val="{BEB81CEB-8F27-ED45-B5DE-21FD8F39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06C2A"/>
    <w:pPr>
      <w:ind w:left="720"/>
      <w:contextualSpacing/>
    </w:pPr>
  </w:style>
  <w:style w:type="character" w:styleId="Hyperlink">
    <w:name w:val="Hyperlink"/>
    <w:basedOn w:val="DefaultParagraphFont"/>
    <w:uiPriority w:val="99"/>
    <w:unhideWhenUsed/>
    <w:rsid w:val="00306C2A"/>
    <w:rPr>
      <w:color w:val="0000FF" w:themeColor="hyperlink"/>
      <w:u w:val="single"/>
    </w:rPr>
  </w:style>
  <w:style w:type="paragraph" w:styleId="NormalWeb">
    <w:name w:val="Normal (Web)"/>
    <w:basedOn w:val="Normal"/>
    <w:uiPriority w:val="99"/>
    <w:semiHidden/>
    <w:unhideWhenUsed/>
    <w:rsid w:val="007127CE"/>
    <w:pPr>
      <w:spacing w:before="100" w:beforeAutospacing="1" w:after="100" w:afterAutospacing="1" w:line="240" w:lineRule="auto"/>
    </w:pPr>
    <w:rPr>
      <w:rFonts w:ascii="Times New Roman" w:hAnsi="Times New Roman" w:eastAsia="Times New Roman" w:cs="Times New Roman"/>
      <w:sz w:val="24"/>
      <w:szCs w:val="24"/>
      <w:lang w:val="en-GB"/>
    </w:r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D4579"/>
    <w:pPr>
      <w:tabs>
        <w:tab w:val="center" w:pos="4680"/>
        <w:tab w:val="right" w:pos="9360"/>
      </w:tabs>
      <w:spacing w:line="240" w:lineRule="auto"/>
    </w:pPr>
  </w:style>
  <w:style w:type="character" w:styleId="HeaderChar" w:customStyle="1">
    <w:name w:val="Header Char"/>
    <w:basedOn w:val="DefaultParagraphFont"/>
    <w:link w:val="Header"/>
    <w:uiPriority w:val="99"/>
    <w:rsid w:val="00BD4579"/>
  </w:style>
  <w:style w:type="paragraph" w:styleId="Footer">
    <w:name w:val="footer"/>
    <w:basedOn w:val="Normal"/>
    <w:link w:val="FooterChar"/>
    <w:uiPriority w:val="99"/>
    <w:unhideWhenUsed/>
    <w:rsid w:val="00BD4579"/>
    <w:pPr>
      <w:tabs>
        <w:tab w:val="center" w:pos="4680"/>
        <w:tab w:val="right" w:pos="9360"/>
      </w:tabs>
      <w:spacing w:line="240" w:lineRule="auto"/>
    </w:pPr>
  </w:style>
  <w:style w:type="character" w:styleId="FooterChar" w:customStyle="1">
    <w:name w:val="Footer Char"/>
    <w:basedOn w:val="DefaultParagraphFont"/>
    <w:link w:val="Footer"/>
    <w:uiPriority w:val="99"/>
    <w:rsid w:val="00BD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uktradeinfo@hmrc.gsi.gov.uk" TargetMode="External" Id="rId13" /><Relationship Type="http://schemas.openxmlformats.org/officeDocument/2006/relationships/footer" Target="footer1.xml" Id="rId18" /><Relationship Type="http://schemas.openxmlformats.org/officeDocument/2006/relationships/customXml" Target="../customXml/item4.xml" Id="rId26" /><Relationship Type="http://schemas.openxmlformats.org/officeDocument/2006/relationships/styles" Target="styles.xml" Id="rId3" /><Relationship Type="http://schemas.openxmlformats.org/officeDocument/2006/relationships/footer" Target="footer3.xml" Id="rId21" /><Relationship Type="http://schemas.openxmlformats.org/officeDocument/2006/relationships/endnotes" Target="endnotes.xml" Id="rId7" /><Relationship Type="http://schemas.openxmlformats.org/officeDocument/2006/relationships/hyperlink" Target="mailto:James.durnford@hmrc.gov.uk" TargetMode="External" Id="rId12" /><Relationship Type="http://schemas.openxmlformats.org/officeDocument/2006/relationships/header" Target="header2.xml" Id="rId17" /><Relationship Type="http://schemas.openxmlformats.org/officeDocument/2006/relationships/customXml" Target="../customXml/item3.xml" Id="rId25"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uktradeinfo.com/Statistics/Pages/DataDownloads.aspx" TargetMode="External" Id="rId11" /><Relationship Type="http://schemas.openxmlformats.org/officeDocument/2006/relationships/customXml" Target="../customXml/item2.xml" Id="rId24" /><Relationship Type="http://schemas.openxmlformats.org/officeDocument/2006/relationships/webSettings" Target="webSettings.xml" Id="rId5" /><Relationship Type="http://schemas.openxmlformats.org/officeDocument/2006/relationships/hyperlink" Target="https://www.uktradeinfo.com/Statistics/RTS/Pages/default.aspx" TargetMode="External" Id="rId15" /><Relationship Type="http://schemas.openxmlformats.org/officeDocument/2006/relationships/theme" Target="theme/theme1.xml" Id="rId23" /><Relationship Type="http://schemas.openxmlformats.org/officeDocument/2006/relationships/hyperlink" Target="https://www.uktradeinfo.com/Statistics/OverseasTradeStatistics/AboutOverseastradeStatistics/Documents/Suppressions-Exporters%20details%20published%20policy.pdf" TargetMode="External"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hyperlink" Target="https://www.uktradeinfo.com/Statistics/OverseasTradeStatistics/Pages/OTS.aspx" TargetMode="External" Id="rId14" /><Relationship Type="http://schemas.openxmlformats.org/officeDocument/2006/relationships/fontTable" Target="fontTable.xml" Id="rId22" /><Relationship Type="http://schemas.openxmlformats.org/officeDocument/2006/relationships/customXml" Target="../customXml/item5.xml" Id="rId27" /><Relationship Type="http://schemas.openxmlformats.org/officeDocument/2006/relationships/hyperlink" Target="https://www.uktradeinfo.com/TradeTools/ExportersDetails/Pages/ExportersSearch.aspx" TargetMode="External" Id="R428e895165a6447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6Ktnr5D7desb0k9PY8dTS6Cm0g==">AMUW2mWPLN81LBJuBGFBUrXWxDiSa85emy9LXAY8CqlSW7SPjFw3Fdt51/uCKp44qEiWgWCifsqo8+DiKd1Vk9nQO5vbaCKVaHcrwuzMW5CKDa7kZ13bB+UDerIr4uOK5nHwxUqywiFh</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6FB19CD433F3134A91ED201F202B9DFF" ma:contentTypeVersion="4092" ma:contentTypeDescription="Create a new document." ma:contentTypeScope="" ma:versionID="2114470ce91c33e2277deb4997ddb0bc">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346bf441-d82b-4df7-bccb-1f451dc8bfc9" xmlns:ns9="c0e5669f-1bcb-499c-94e0-3ccb733d3d13" targetNamespace="http://schemas.microsoft.com/office/2006/metadata/properties" ma:root="true" ma:fieldsID="aa71b6206c546abec87348f52d85eb0f"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346bf441-d82b-4df7-bccb-1f451dc8bfc9"/>
    <xsd:import namespace="c0e5669f-1bcb-499c-94e0-3ccb733d3d13"/>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3:_dlc_DocIdPersistId" minOccurs="0"/>
                <xsd:element ref="ns7:m975189f4ba442ecbf67d4147307b177" minOccurs="0"/>
                <xsd:element ref="ns3:TaxCatchAll" minOccurs="0"/>
                <xsd:element ref="ns3:TaxCatchAllLabel" minOccurs="0"/>
                <xsd:element ref="ns3:_dlc_DocId" minOccurs="0"/>
                <xsd:element ref="ns3:_dlc_DocIdUrl"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element ref="ns8:MediaServiceAutoTags" minOccurs="0"/>
                <xsd:element ref="ns8:MediaServiceOCR" minOccurs="0"/>
                <xsd:element ref="ns8:MediaServiceGenerationTime" minOccurs="0"/>
                <xsd:element ref="ns8:MediaServiceEventHashCode" minOccurs="0"/>
                <xsd:element ref="ns8:MediaServiceAutoKeyPoints" minOccurs="0"/>
                <xsd:element ref="ns8: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_dlc_DocIdPersistId" ma:index="52" nillable="true" ma:displayName="Persist ID" ma:description="Keep ID on add." ma:hidden="true" ma:internalName="_dlc_DocIdPersistId" ma:readOnly="true">
      <xsd:simpleType>
        <xsd:restriction base="dms:Boolean"/>
      </xsd:simpleType>
    </xsd:element>
    <xsd:element name="TaxCatchAll" ma:index="58" nillable="true" ma:displayName="Taxonomy Catch All Column" ma:descriptio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9" nillable="true" ma:displayName="Taxonomy Catch All Column1" ma:description=""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61" nillable="true" ma:displayName="Document ID Value" ma:description="The value of the document ID assigned to this item." ma:internalName="_dlc_DocId" ma:readOnly="true">
      <xsd:simpleType>
        <xsd:restriction base="dms:Text"/>
      </xsd:simpleType>
    </xsd:element>
    <xsd:element name="_dlc_DocIdUrl" ma:index="6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SharedWithUsers" ma:index="6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7"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46bf441-d82b-4df7-bccb-1f451dc8bfc9"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element name="MediaServiceAutoTags" ma:index="71" nillable="true" ma:displayName="Tags" ma:internalName="MediaServiceAutoTags" ma:readOnly="true">
      <xsd:simpleType>
        <xsd:restriction base="dms:Text"/>
      </xsd:simpleType>
    </xsd:element>
    <xsd:element name="MediaServiceOCR" ma:index="72" nillable="true" ma:displayName="Extracted Text" ma:internalName="MediaServiceOCR" ma:readOnly="true">
      <xsd:simpleType>
        <xsd:restriction base="dms:Note">
          <xsd:maxLength value="255"/>
        </xsd:restriction>
      </xsd:simpleType>
    </xsd:element>
    <xsd:element name="MediaServiceGenerationTime" ma:index="73" nillable="true" ma:displayName="MediaServiceGenerationTime" ma:hidden="true" ma:internalName="MediaServiceGenerationTime" ma:readOnly="true">
      <xsd:simpleType>
        <xsd:restriction base="dms:Text"/>
      </xsd:simpleType>
    </xsd:element>
    <xsd:element name="MediaServiceEventHashCode" ma:index="74" nillable="true" ma:displayName="MediaServiceEventHashCode" ma:hidden="true" ma:internalName="MediaServiceEventHashCode" ma:readOnly="true">
      <xsd:simpleType>
        <xsd:restriction base="dms:Text"/>
      </xsd:simpleType>
    </xsd:element>
    <xsd:element name="MediaServiceAutoKeyPoints" ma:index="75" nillable="true" ma:displayName="MediaServiceAutoKeyPoints" ma:hidden="true" ma:internalName="MediaServiceAutoKeyPoints" ma:readOnly="true">
      <xsd:simpleType>
        <xsd:restriction base="dms:Note"/>
      </xsd:simpleType>
    </xsd:element>
    <xsd:element name="MediaServiceKeyPoints" ma:index="7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H6263HTYEWN5-2094533450-363503</_dlc_DocId>
    <Security_x0020_Classification xmlns="7fd9e60a-720a-478c-bf76-b460d35d354e">OFFICIAL</Security_x0020_Classification>
    <_dlc_DocIdUrl xmlns="7fd9e60a-720a-478c-bf76-b460d35d354e">
      <Url>https://dbis.sharepoint.com/sites/dit/103/_layouts/15/DocIdRedir.aspx?ID=H6263HTYEWN5-2094533450-363503</Url>
      <Description>H6263HTYEWN5-2094533450-363503</Description>
    </_dlc_DocIdUrl>
    <TaxCatchAll xmlns="7fd9e60a-720a-478c-bf76-b460d35d354e">
      <Value>100</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Analysts</TermName>
          <TermId xmlns="http://schemas.microsoft.com/office/infopath/2007/PartnerControls">af38af86-f653-425d-9e7f-696e5b2b1a25</TermId>
        </TermInfo>
      </Terms>
    </m975189f4ba442ecbf67d4147307b177>
    <LegacyPhysicalFormat xmlns="a172083e-e40c-4314-b43a-827352a1ed2c">false</LegacyPhysicalFormat>
    <Retention_x0020_Label xmlns="a8f60570-4bd3-4f2b-950b-a996de8ab151">Group Review</Retention_x0020_Label>
    <Government_x0020_Body xmlns="b413c3fd-5a3b-4239-b985-69032e371c04">DIT</Government_x0020_Body>
    <Date_x0020_Opened xmlns="b413c3fd-5a3b-4239-b985-69032e371c04">2020-01-20T11:16:34+00:00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89F08F8-F7BD-49A7-AE26-E7C1E9AF960A}"/>
</file>

<file path=customXml/itemProps3.xml><?xml version="1.0" encoding="utf-8"?>
<ds:datastoreItem xmlns:ds="http://schemas.openxmlformats.org/officeDocument/2006/customXml" ds:itemID="{4067D30E-22BE-4C4C-BED3-60DC7D6A183D}"/>
</file>

<file path=customXml/itemProps4.xml><?xml version="1.0" encoding="utf-8"?>
<ds:datastoreItem xmlns:ds="http://schemas.openxmlformats.org/officeDocument/2006/customXml" ds:itemID="{1B04A7B9-71F2-473A-A6E6-6B4B709ED3B4}"/>
</file>

<file path=customXml/itemProps5.xml><?xml version="1.0" encoding="utf-8"?>
<ds:datastoreItem xmlns:ds="http://schemas.openxmlformats.org/officeDocument/2006/customXml" ds:itemID="{F8259748-DDD7-4096-B75E-C3A65012C3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Bega, Daniele (CS&amp;TD)</dc:creator>
  <cp:lastModifiedBy>Turner, Robert (Trade)</cp:lastModifiedBy>
  <cp:revision>3</cp:revision>
  <dcterms:created xsi:type="dcterms:W3CDTF">2019-09-27T07:50:00Z</dcterms:created>
  <dcterms:modified xsi:type="dcterms:W3CDTF">2020-02-25T13:42:15Z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100;#Analysts|af38af86-f653-425d-9e7f-696e5b2b1a25</vt:lpwstr>
  </property>
  <property fmtid="{D5CDD505-2E9C-101B-9397-08002B2CF9AE}" pid="3" name="ContentTypeId">
    <vt:lpwstr>0x0101006FB19CD433F3134A91ED201F202B9DFF</vt:lpwstr>
  </property>
  <property fmtid="{D5CDD505-2E9C-101B-9397-08002B2CF9AE}" pid="4" name="_dlc_DocIdItemGuid">
    <vt:lpwstr>6a197218-1674-454c-8993-a055a8d9b838</vt:lpwstr>
  </property>
</Properties>
</file>