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010168" w:rsidRDefault="00010168" w14:paraId="23A606A7" w14:textId="77777777">
      <w:pPr>
        <w:rPr>
          <w:rFonts w:ascii="Roboto" w:hAnsi="Roboto" w:eastAsia="Roboto" w:cs="Roboto"/>
        </w:rPr>
      </w:pPr>
    </w:p>
    <w:tbl>
      <w:tblPr>
        <w:tblStyle w:val="a"/>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010168" w:rsidTr="45CBF6C1" w14:paraId="4858D182"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rsidR="00010168" w:rsidRDefault="00010168" w14:paraId="335A025F" w14:textId="77777777">
            <w:pPr>
              <w:widowControl w:val="0"/>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rsidR="00010168" w:rsidRDefault="00662E93" w14:paraId="1F19C35A" w14:textId="77777777">
            <w:pPr>
              <w:widowControl w:val="0"/>
              <w:jc w:val="center"/>
              <w:rPr>
                <w:rFonts w:ascii="Roboto" w:hAnsi="Roboto" w:eastAsia="Roboto" w:cs="Roboto"/>
                <w:i/>
                <w:color w:val="FFFFFF"/>
                <w:sz w:val="18"/>
                <w:szCs w:val="18"/>
              </w:rPr>
            </w:pPr>
            <w:r>
              <w:rPr>
                <w:rFonts w:ascii="Roboto" w:hAnsi="Roboto" w:eastAsia="Roboto" w:cs="Roboto"/>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rsidR="00010168" w:rsidRDefault="00010168" w14:paraId="3A6824CE" w14:textId="77777777">
            <w:pPr>
              <w:widowControl w:val="0"/>
              <w:rPr>
                <w:rFonts w:ascii="Roboto" w:hAnsi="Roboto" w:eastAsia="Roboto" w:cs="Roboto"/>
                <w:sz w:val="20"/>
                <w:szCs w:val="20"/>
              </w:rPr>
            </w:pPr>
          </w:p>
        </w:tc>
      </w:tr>
      <w:tr w:rsidR="00010168" w:rsidTr="45CBF6C1" w14:paraId="701E4F3B"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rsidR="00010168" w:rsidRDefault="00010168" w14:paraId="126A4225" w14:textId="77777777">
            <w:pPr>
              <w:widowControl w:val="0"/>
              <w:rPr>
                <w:rFonts w:ascii="Roboto" w:hAnsi="Roboto" w:eastAsia="Roboto" w:cs="Roboto"/>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rsidR="00010168" w:rsidRDefault="00010168" w14:paraId="117837B9" w14:textId="77777777">
            <w:pPr>
              <w:widowControl w:val="0"/>
              <w:spacing w:line="240" w:lineRule="auto"/>
              <w:rPr>
                <w:rFonts w:ascii="Roboto" w:hAnsi="Roboto" w:eastAsia="Roboto" w:cs="Roboto"/>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rsidR="00010168" w:rsidRDefault="00010168" w14:paraId="4BFE631D" w14:textId="77777777">
            <w:pPr>
              <w:widowControl w:val="0"/>
              <w:spacing w:line="240" w:lineRule="auto"/>
              <w:rPr>
                <w:rFonts w:ascii="Roboto" w:hAnsi="Roboto" w:eastAsia="Roboto" w:cs="Roboto"/>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rsidR="00010168" w:rsidRDefault="00010168" w14:paraId="792D1E22" w14:textId="77777777">
            <w:pPr>
              <w:widowControl w:val="0"/>
              <w:spacing w:line="240" w:lineRule="auto"/>
              <w:rPr>
                <w:rFonts w:ascii="Roboto" w:hAnsi="Roboto" w:eastAsia="Roboto" w:cs="Roboto"/>
                <w:sz w:val="16"/>
                <w:szCs w:val="16"/>
              </w:rPr>
            </w:pPr>
          </w:p>
        </w:tc>
        <w:tc>
          <w:tcPr>
            <w:tcW w:w="210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010168" w:rsidRDefault="00010168" w14:paraId="52E9ECF2" w14:textId="77777777">
            <w:pPr>
              <w:widowControl w:val="0"/>
              <w:spacing w:line="240" w:lineRule="auto"/>
              <w:jc w:val="center"/>
              <w:rPr>
                <w:b/>
                <w:sz w:val="16"/>
                <w:szCs w:val="16"/>
              </w:rPr>
            </w:pPr>
          </w:p>
        </w:tc>
        <w:tc>
          <w:tcPr>
            <w:tcW w:w="945" w:type="dxa"/>
            <w:gridSpan w:val="2"/>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010168" w:rsidRDefault="00010168" w14:paraId="7333DDA6" w14:textId="77777777">
            <w:pPr>
              <w:widowControl w:val="0"/>
              <w:spacing w:line="240" w:lineRule="auto"/>
              <w:rPr>
                <w:color w:val="999999"/>
                <w:sz w:val="16"/>
                <w:szCs w:val="16"/>
              </w:rPr>
            </w:pPr>
          </w:p>
        </w:tc>
        <w:tc>
          <w:tcPr>
            <w:tcW w:w="1785"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010168" w:rsidRDefault="00010168" w14:paraId="27CB0C10" w14:textId="77777777">
            <w:pPr>
              <w:widowControl w:val="0"/>
              <w:rPr>
                <w:rFonts w:ascii="Roboto" w:hAnsi="Roboto" w:eastAsia="Roboto" w:cs="Roboto"/>
                <w:sz w:val="16"/>
                <w:szCs w:val="16"/>
              </w:rPr>
            </w:pPr>
          </w:p>
        </w:tc>
        <w:tc>
          <w:tcPr>
            <w:tcW w:w="273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010168" w:rsidRDefault="00010168" w14:paraId="339A84E0" w14:textId="77777777">
            <w:pPr>
              <w:widowControl w:val="0"/>
              <w:rPr>
                <w:rFonts w:ascii="Roboto" w:hAnsi="Roboto" w:eastAsia="Roboto" w:cs="Roboto"/>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rsidR="00010168" w:rsidRDefault="00010168" w14:paraId="49E84EA8" w14:textId="77777777">
            <w:pPr>
              <w:widowControl w:val="0"/>
              <w:rPr>
                <w:rFonts w:ascii="Roboto" w:hAnsi="Roboto" w:eastAsia="Roboto" w:cs="Roboto"/>
                <w:sz w:val="16"/>
                <w:szCs w:val="16"/>
              </w:rPr>
            </w:pPr>
          </w:p>
        </w:tc>
      </w:tr>
      <w:tr w:rsidR="00010168" w:rsidTr="45CBF6C1" w14:paraId="07FAF578"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662E93" w14:paraId="55D28038" w14:textId="77777777">
            <w:pPr>
              <w:widowControl w:val="0"/>
              <w:rPr>
                <w:rFonts w:ascii="Roboto" w:hAnsi="Roboto" w:eastAsia="Roboto" w:cs="Roboto"/>
                <w:sz w:val="20"/>
                <w:szCs w:val="20"/>
              </w:rPr>
            </w:pPr>
            <w:r>
              <w:rPr>
                <w:rFonts w:ascii="Roboto" w:hAnsi="Roboto" w:eastAsia="Roboto" w:cs="Roboto"/>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rsidR="00010168" w:rsidRDefault="00662E93" w14:paraId="078DD2DE" w14:textId="77777777">
            <w:pPr>
              <w:widowControl w:val="0"/>
              <w:spacing w:line="240" w:lineRule="auto"/>
              <w:rPr>
                <w:rFonts w:ascii="Roboto" w:hAnsi="Roboto" w:eastAsia="Roboto" w:cs="Roboto"/>
                <w:sz w:val="20"/>
                <w:szCs w:val="20"/>
              </w:rPr>
            </w:pPr>
            <w:r>
              <w:rPr>
                <w:rFonts w:ascii="Roboto" w:hAnsi="Roboto" w:eastAsia="Roboto" w:cs="Roboto"/>
                <w:noProof/>
                <w:sz w:val="20"/>
                <w:szCs w:val="20"/>
              </w:rPr>
              <w:drawing>
                <wp:inline distT="114300" distB="114300" distL="114300" distR="114300" wp14:anchorId="7B5B36F1" wp14:editId="7557AF63">
                  <wp:extent cx="1628775" cy="54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8775" cy="546100"/>
                          </a:xfrm>
                          <a:prstGeom prst="rect">
                            <a:avLst/>
                          </a:prstGeom>
                          <a:ln/>
                        </pic:spPr>
                      </pic:pic>
                    </a:graphicData>
                  </a:graphic>
                </wp:inline>
              </w:drawing>
            </w:r>
          </w:p>
          <w:p w:rsidR="00010168" w:rsidRDefault="00010168" w14:paraId="66DF3F0D" w14:textId="77777777">
            <w:pPr>
              <w:widowControl w:val="0"/>
              <w:spacing w:line="240" w:lineRule="auto"/>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1D82BC9A"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010168" w:rsidRDefault="00662E93" w14:paraId="3B8A227B" w14:textId="7777777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010168" w:rsidRDefault="00662E93" w14:paraId="3D59ADEA" w14:textId="77777777">
            <w:pPr>
              <w:widowControl w:val="0"/>
              <w:spacing w:line="240" w:lineRule="auto"/>
              <w:rPr>
                <w:sz w:val="20"/>
                <w:szCs w:val="20"/>
              </w:rPr>
            </w:pPr>
            <w:r>
              <w:rPr>
                <w:sz w:val="20"/>
                <w:szCs w:val="20"/>
              </w:rPr>
              <w:t>United Kingdom Balance of Payments, The Pink Book</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3471ACB2" w14:textId="77777777">
            <w:pPr>
              <w:widowControl w:val="0"/>
              <w:spacing w:line="240" w:lineRule="auto"/>
              <w:rPr>
                <w:rFonts w:ascii="Roboto" w:hAnsi="Roboto" w:eastAsia="Roboto" w:cs="Roboto"/>
                <w:sz w:val="20"/>
                <w:szCs w:val="20"/>
              </w:rPr>
            </w:pPr>
          </w:p>
        </w:tc>
      </w:tr>
      <w:tr w:rsidR="00010168" w:rsidTr="45CBF6C1" w14:paraId="4A6C1242"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41A7B70A" w14:textId="77777777">
            <w:pPr>
              <w:widowControl w:val="0"/>
              <w:spacing w:line="240" w:lineRule="auto"/>
              <w:rPr>
                <w:rFonts w:ascii="Roboto" w:hAnsi="Roboto" w:eastAsia="Roboto" w:cs="Roboto"/>
                <w:sz w:val="20"/>
                <w:szCs w:val="20"/>
              </w:rPr>
            </w:pPr>
          </w:p>
        </w:tc>
        <w:tc>
          <w:tcPr>
            <w:tcW w:w="2655" w:type="dxa"/>
            <w:gridSpan w:val="2"/>
            <w:vMerge/>
            <w:tcBorders/>
            <w:tcMar>
              <w:top w:w="0" w:type="dxa"/>
              <w:left w:w="40" w:type="dxa"/>
              <w:bottom w:w="0" w:type="dxa"/>
              <w:right w:w="40" w:type="dxa"/>
            </w:tcMar>
            <w:vAlign w:val="center"/>
          </w:tcPr>
          <w:p w:rsidR="00010168" w:rsidRDefault="00010168" w14:paraId="5A25C82F" w14:textId="77777777">
            <w:pPr>
              <w:widowControl w:val="0"/>
              <w:pBdr>
                <w:top w:val="nil"/>
                <w:left w:val="nil"/>
                <w:bottom w:val="nil"/>
                <w:right w:val="nil"/>
                <w:between w:val="nil"/>
              </w:pBdr>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767D8CD6"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010168" w:rsidRDefault="00662E93" w14:paraId="4990DECF" w14:textId="7777777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010168" w:rsidRDefault="00662E93" w14:paraId="55C088C9" w14:textId="77777777">
            <w:pPr>
              <w:widowControl w:val="0"/>
              <w:spacing w:line="240" w:lineRule="auto"/>
              <w:rPr>
                <w:sz w:val="20"/>
                <w:szCs w:val="20"/>
              </w:rPr>
            </w:pPr>
            <w:r>
              <w:rPr>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564C5BD6" w14:textId="77777777">
            <w:pPr>
              <w:widowControl w:val="0"/>
              <w:spacing w:line="240" w:lineRule="auto"/>
              <w:rPr>
                <w:rFonts w:ascii="Roboto" w:hAnsi="Roboto" w:eastAsia="Roboto" w:cs="Roboto"/>
                <w:sz w:val="36"/>
                <w:szCs w:val="36"/>
              </w:rPr>
            </w:pPr>
          </w:p>
        </w:tc>
      </w:tr>
      <w:tr w:rsidR="00010168" w:rsidTr="45CBF6C1" w14:paraId="15F92A55" w14:textId="77777777">
        <w:trPr>
          <w:trHeight w:val="4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2F054EEF" w14:textId="77777777">
            <w:pPr>
              <w:widowControl w:val="0"/>
              <w:rPr>
                <w:rFonts w:ascii="Roboto" w:hAnsi="Roboto" w:eastAsia="Roboto" w:cs="Roboto"/>
                <w:sz w:val="20"/>
                <w:szCs w:val="20"/>
              </w:rPr>
            </w:pPr>
            <w:bookmarkStart w:name="_gjdgxs" w:colFirst="0" w:colLast="0" w:id="0"/>
            <w:bookmarkEnd w:id="0"/>
          </w:p>
        </w:tc>
        <w:tc>
          <w:tcPr>
            <w:tcW w:w="2655" w:type="dxa"/>
            <w:gridSpan w:val="2"/>
            <w:vMerge/>
            <w:tcBorders/>
            <w:tcMar>
              <w:top w:w="0" w:type="dxa"/>
              <w:left w:w="40" w:type="dxa"/>
              <w:bottom w:w="0" w:type="dxa"/>
              <w:right w:w="40" w:type="dxa"/>
            </w:tcMar>
            <w:vAlign w:val="center"/>
          </w:tcPr>
          <w:p w:rsidR="00010168" w:rsidRDefault="00010168" w14:paraId="79B2024F" w14:textId="77777777">
            <w:pPr>
              <w:widowControl w:val="0"/>
              <w:pBdr>
                <w:top w:val="nil"/>
                <w:left w:val="nil"/>
                <w:bottom w:val="nil"/>
                <w:right w:val="nil"/>
                <w:between w:val="nil"/>
              </w:pBdr>
              <w:rPr>
                <w:rFonts w:ascii="Roboto" w:hAnsi="Roboto" w:eastAsia="Roboto" w:cs="Roboto"/>
                <w:sz w:val="20"/>
                <w:szCs w:val="20"/>
              </w:rPr>
            </w:pPr>
          </w:p>
        </w:tc>
        <w:tc>
          <w:tcPr>
            <w:tcW w:w="360"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3D0F8896"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010168" w:rsidRDefault="00662E93" w14:paraId="17F7ADF3" w14:textId="7777777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010168" w:rsidRDefault="00662E93" w14:paraId="13D8F362" w14:textId="77777777">
            <w:pPr>
              <w:widowControl w:val="0"/>
              <w:spacing w:line="240" w:lineRule="auto"/>
              <w:rPr>
                <w:sz w:val="20"/>
                <w:szCs w:val="20"/>
              </w:rPr>
            </w:pPr>
            <w:r>
              <w:rPr>
                <w:sz w:val="20"/>
                <w:szCs w:val="20"/>
              </w:rPr>
              <w:t>Balance of Payments</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010168" w:rsidRDefault="00010168" w14:paraId="04FDC19C" w14:textId="77777777">
            <w:pPr>
              <w:widowControl w:val="0"/>
              <w:spacing w:line="240" w:lineRule="auto"/>
              <w:rPr>
                <w:rFonts w:ascii="Roboto" w:hAnsi="Roboto" w:eastAsia="Roboto" w:cs="Roboto"/>
                <w:sz w:val="20"/>
                <w:szCs w:val="20"/>
              </w:rPr>
            </w:pPr>
          </w:p>
        </w:tc>
      </w:tr>
      <w:tr w:rsidR="00010168" w:rsidTr="45CBF6C1" w14:paraId="086B0DB9" w14:textId="77777777">
        <w:trPr>
          <w:trHeight w:val="300"/>
        </w:trPr>
        <w:tc>
          <w:tcPr>
            <w:tcW w:w="258" w:type="dxa"/>
            <w:tcBorders>
              <w:top w:val="nil"/>
              <w:left w:val="nil"/>
              <w:bottom w:val="nil"/>
              <w:right w:val="dotted" w:color="FFFFFF" w:themeColor="background1" w:sz="12" w:space="0"/>
            </w:tcBorders>
            <w:shd w:val="clear" w:color="auto" w:fill="F3F3F3"/>
            <w:tcMar>
              <w:top w:w="0" w:type="dxa"/>
              <w:left w:w="40" w:type="dxa"/>
              <w:bottom w:w="0" w:type="dxa"/>
              <w:right w:w="40" w:type="dxa"/>
            </w:tcMar>
            <w:vAlign w:val="bottom"/>
          </w:tcPr>
          <w:p w:rsidR="00010168" w:rsidRDefault="00010168" w14:paraId="12D9BC40" w14:textId="77777777">
            <w:pPr>
              <w:widowControl w:val="0"/>
              <w:rPr>
                <w:rFonts w:ascii="Roboto" w:hAnsi="Roboto" w:eastAsia="Roboto" w:cs="Roboto"/>
                <w:sz w:val="20"/>
                <w:szCs w:val="20"/>
              </w:rPr>
            </w:pPr>
          </w:p>
        </w:tc>
        <w:tc>
          <w:tcPr>
            <w:tcW w:w="2655" w:type="dxa"/>
            <w:gridSpan w:val="2"/>
            <w:tcBorders>
              <w:top w:val="dotted" w:color="FFFFFF" w:themeColor="background1" w:sz="12" w:space="0"/>
              <w:left w:val="dotted" w:color="FFFFFF" w:themeColor="background1" w:sz="12" w:space="0"/>
              <w:bottom w:val="dotted" w:color="FFFFFF" w:themeColor="background1" w:sz="12" w:space="0"/>
              <w:right w:val="dotted" w:color="FFFFFF" w:themeColor="background1" w:sz="12" w:space="0"/>
            </w:tcBorders>
            <w:shd w:val="clear" w:color="auto" w:fill="auto"/>
            <w:tcMar>
              <w:top w:w="0" w:type="dxa"/>
              <w:left w:w="40" w:type="dxa"/>
              <w:bottom w:w="0" w:type="dxa"/>
              <w:right w:w="40" w:type="dxa"/>
            </w:tcMar>
            <w:vAlign w:val="center"/>
          </w:tcPr>
          <w:p w:rsidR="00010168" w:rsidP="45CBF6C1" w:rsidRDefault="00662E93" w14:paraId="46178DA9" w14:textId="77777777">
            <w:pPr>
              <w:widowControl w:val="0"/>
              <w:spacing w:line="240" w:lineRule="auto"/>
              <w:jc w:val="center"/>
              <w:rPr>
                <w:rFonts w:ascii="Roboto" w:hAnsi="Roboto" w:eastAsia="Roboto" w:cs="Roboto"/>
                <w:b w:val="1"/>
                <w:bCs w:val="1"/>
                <w:i w:val="1"/>
                <w:iCs w:val="1"/>
                <w:color w:val="FFFFFF"/>
                <w:sz w:val="20"/>
                <w:szCs w:val="20"/>
                <w:u w:val="single"/>
              </w:rPr>
            </w:pPr>
            <w:hyperlink r:id="Re1c5c44ed72b4479">
              <w:r w:rsidRPr="45CBF6C1" w:rsidR="45CBF6C1">
                <w:rPr>
                  <w:rFonts w:ascii="Roboto" w:hAnsi="Roboto" w:eastAsia="Roboto" w:cs="Roboto"/>
                  <w:b w:val="1"/>
                  <w:bCs w:val="1"/>
                  <w:i w:val="1"/>
                  <w:iCs w:val="1"/>
                  <w:color w:val="0000FF"/>
                  <w:sz w:val="20"/>
                  <w:szCs w:val="20"/>
                  <w:u w:val="single"/>
                </w:rPr>
                <w:t>Pink Book</w:t>
              </w:r>
            </w:hyperlink>
          </w:p>
        </w:tc>
        <w:tc>
          <w:tcPr>
            <w:tcW w:w="360" w:type="dxa"/>
            <w:tcBorders>
              <w:top w:val="nil"/>
              <w:left w:val="dotted" w:color="FFFFFF" w:themeColor="background1" w:sz="12"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10A25EE5" w14:textId="77777777">
            <w:pPr>
              <w:widowControl w:val="0"/>
              <w:spacing w:line="240" w:lineRule="auto"/>
              <w:rPr>
                <w:rFonts w:ascii="Roboto" w:hAnsi="Roboto" w:eastAsia="Roboto" w:cs="Roboto"/>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010168" w:rsidRDefault="00662E93" w14:paraId="401F2A25" w14:textId="7777777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tcPr>
          <w:p w:rsidR="00010168" w:rsidRDefault="00662E93" w14:paraId="06A094B4" w14:textId="77777777">
            <w:pPr>
              <w:widowControl w:val="0"/>
              <w:spacing w:line="240" w:lineRule="auto"/>
              <w:rPr>
                <w:sz w:val="20"/>
                <w:szCs w:val="20"/>
              </w:rPr>
            </w:pPr>
            <w:r>
              <w:rPr>
                <w:sz w:val="20"/>
                <w:szCs w:val="20"/>
              </w:rPr>
              <w:t xml:space="preserve">Annual </w:t>
            </w:r>
          </w:p>
          <w:p w:rsidR="00010168" w:rsidRDefault="00010168" w14:paraId="597566E6" w14:textId="77777777">
            <w:pPr>
              <w:widowControl w:val="0"/>
              <w:spacing w:line="240" w:lineRule="auto"/>
              <w:rPr>
                <w:sz w:val="20"/>
                <w:szCs w:val="20"/>
              </w:rPr>
            </w:pP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010168" w:rsidRDefault="00010168" w14:paraId="07F97786" w14:textId="77777777">
            <w:pPr>
              <w:widowControl w:val="0"/>
              <w:spacing w:line="240" w:lineRule="auto"/>
              <w:rPr>
                <w:rFonts w:ascii="Roboto" w:hAnsi="Roboto" w:eastAsia="Roboto" w:cs="Roboto"/>
                <w:sz w:val="20"/>
                <w:szCs w:val="20"/>
              </w:rPr>
            </w:pPr>
          </w:p>
        </w:tc>
      </w:tr>
      <w:tr w:rsidR="00010168" w:rsidTr="45CBF6C1" w14:paraId="7D7BBBAD" w14:textId="77777777">
        <w:trPr>
          <w:trHeight w:val="1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0DFA34F9" w14:textId="77777777">
            <w:pPr>
              <w:widowControl w:val="0"/>
              <w:rPr>
                <w:rFonts w:ascii="Roboto" w:hAnsi="Roboto" w:eastAsia="Roboto" w:cs="Roboto"/>
                <w:sz w:val="20"/>
                <w:szCs w:val="20"/>
              </w:rPr>
            </w:pPr>
          </w:p>
        </w:tc>
        <w:tc>
          <w:tcPr>
            <w:tcW w:w="1725"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010168" w:rsidRDefault="00010168" w14:paraId="52CEE1DD" w14:textId="77777777">
            <w:pPr>
              <w:widowControl w:val="0"/>
              <w:rPr>
                <w:rFonts w:ascii="Roboto" w:hAnsi="Roboto" w:eastAsia="Roboto" w:cs="Roboto"/>
                <w:sz w:val="20"/>
                <w:szCs w:val="20"/>
              </w:rPr>
            </w:pPr>
          </w:p>
        </w:tc>
        <w:tc>
          <w:tcPr>
            <w:tcW w:w="930"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010168" w:rsidRDefault="00010168" w14:paraId="65BBB7F8" w14:textId="77777777">
            <w:pPr>
              <w:widowControl w:val="0"/>
              <w:rPr>
                <w:rFonts w:ascii="Roboto" w:hAnsi="Roboto" w:eastAsia="Roboto" w:cs="Roboto"/>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6D8D9961"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6C421AD7" w14:textId="77777777">
            <w:pPr>
              <w:widowControl w:val="0"/>
              <w:rPr>
                <w:rFonts w:ascii="Roboto" w:hAnsi="Roboto" w:eastAsia="Roboto" w:cs="Roboto"/>
                <w:sz w:val="20"/>
                <w:szCs w:val="20"/>
              </w:rPr>
            </w:pPr>
          </w:p>
        </w:tc>
        <w:tc>
          <w:tcPr>
            <w:tcW w:w="94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3F0CAD01"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6455E5CA" w14:textId="77777777">
            <w:pPr>
              <w:widowControl w:val="0"/>
              <w:jc w:val="center"/>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4E5D5BD6" w14:textId="77777777">
            <w:pPr>
              <w:widowControl w:val="0"/>
              <w:jc w:val="center"/>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6E98F855" w14:textId="77777777">
            <w:pPr>
              <w:widowControl w:val="0"/>
              <w:jc w:val="center"/>
              <w:rPr>
                <w:rFonts w:ascii="Roboto" w:hAnsi="Roboto" w:eastAsia="Roboto" w:cs="Roboto"/>
                <w:sz w:val="20"/>
                <w:szCs w:val="20"/>
              </w:rPr>
            </w:pPr>
          </w:p>
        </w:tc>
      </w:tr>
      <w:tr w:rsidR="00010168" w:rsidTr="45CBF6C1" w14:paraId="2C12F153"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0EDBE425"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010168" w:rsidRDefault="00662E93" w14:paraId="24CC2281"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Description</w:t>
            </w:r>
          </w:p>
        </w:tc>
        <w:tc>
          <w:tcPr>
            <w:tcW w:w="2805" w:type="dxa"/>
            <w:gridSpan w:val="2"/>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46547825"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3191EFA5"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010168" w:rsidRDefault="00662E93" w14:paraId="46A35C5E"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Key Info</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041B4A4F" w14:textId="77777777">
            <w:pPr>
              <w:widowControl w:val="0"/>
              <w:jc w:val="center"/>
              <w:rPr>
                <w:rFonts w:ascii="Roboto" w:hAnsi="Roboto" w:eastAsia="Roboto" w:cs="Roboto"/>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25FE691B" w14:textId="77777777">
            <w:pPr>
              <w:widowControl w:val="0"/>
              <w:rPr>
                <w:rFonts w:ascii="Roboto" w:hAnsi="Roboto" w:eastAsia="Roboto" w:cs="Roboto"/>
                <w:sz w:val="20"/>
                <w:szCs w:val="20"/>
              </w:rPr>
            </w:pPr>
          </w:p>
        </w:tc>
      </w:tr>
      <w:tr w:rsidR="00010168" w:rsidTr="45CBF6C1" w14:paraId="5C606FAF" w14:textId="77777777">
        <w:trPr>
          <w:trHeight w:val="34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6DC0BFB0"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010168" w:rsidRDefault="00662E93" w14:paraId="1686A82B" w14:textId="77777777">
            <w:pPr>
              <w:widowControl w:val="0"/>
              <w:numPr>
                <w:ilvl w:val="0"/>
                <w:numId w:val="4"/>
              </w:numPr>
              <w:spacing w:line="240" w:lineRule="auto"/>
              <w:rPr>
                <w:sz w:val="20"/>
                <w:szCs w:val="20"/>
              </w:rPr>
            </w:pPr>
            <w:r>
              <w:rPr>
                <w:sz w:val="20"/>
                <w:szCs w:val="20"/>
              </w:rPr>
              <w:t>The UK Balance of Payments measures economic transactions between economic entities resident in the UK and the rest of the world. It also draws a series of balances between inward and outward transactions, provides a net flow of transactions between UK res</w:t>
            </w:r>
            <w:r>
              <w:rPr>
                <w:sz w:val="20"/>
                <w:szCs w:val="20"/>
              </w:rPr>
              <w:t>idents and the rest of the world, and reports how that flow is funded.</w:t>
            </w:r>
          </w:p>
          <w:p w:rsidR="00010168" w:rsidRDefault="00662E93" w14:paraId="46EE3C62" w14:textId="77777777">
            <w:pPr>
              <w:widowControl w:val="0"/>
              <w:numPr>
                <w:ilvl w:val="0"/>
                <w:numId w:val="4"/>
              </w:numPr>
              <w:spacing w:line="240" w:lineRule="auto"/>
              <w:rPr>
                <w:sz w:val="20"/>
                <w:szCs w:val="20"/>
              </w:rPr>
            </w:pPr>
            <w:r>
              <w:rPr>
                <w:sz w:val="20"/>
                <w:szCs w:val="20"/>
              </w:rPr>
              <w:t>The Pink Book summarises the economic transactions of the UK with the rest of the world over time. It can be broken into three components: the current account, the capital account and t</w:t>
            </w:r>
            <w:r>
              <w:rPr>
                <w:sz w:val="20"/>
                <w:szCs w:val="20"/>
              </w:rPr>
              <w:t>he financial account.</w:t>
            </w:r>
          </w:p>
          <w:p w:rsidR="00010168" w:rsidRDefault="00662E93" w14:paraId="3C8F4F5F" w14:textId="77777777">
            <w:pPr>
              <w:widowControl w:val="0"/>
              <w:numPr>
                <w:ilvl w:val="0"/>
                <w:numId w:val="4"/>
              </w:numPr>
              <w:spacing w:line="240" w:lineRule="auto"/>
              <w:rPr>
                <w:sz w:val="20"/>
                <w:szCs w:val="20"/>
              </w:rPr>
            </w:pPr>
            <w:r>
              <w:rPr>
                <w:sz w:val="20"/>
                <w:szCs w:val="20"/>
              </w:rPr>
              <w:t>The current account shows the flows of goods and services that comprise international trade, the cross-border income flows associated with the international ownership of financial assets, and current transfers between residents and no</w:t>
            </w:r>
            <w:r>
              <w:rPr>
                <w:sz w:val="20"/>
                <w:szCs w:val="20"/>
              </w:rPr>
              <w:t>n-residents. The sum of the balances on these accounts is known as the current account balance.</w:t>
            </w:r>
            <w:r>
              <w:t xml:space="preserve"> </w:t>
            </w:r>
            <w:r>
              <w:rPr>
                <w:sz w:val="20"/>
                <w:szCs w:val="20"/>
              </w:rPr>
              <w:t xml:space="preserve">The capital account consists of capital transfers and the acquisition or disposal of non-produced, non-financial assets. </w:t>
            </w:r>
          </w:p>
          <w:p w:rsidR="00010168" w:rsidRDefault="00662E93" w14:paraId="60E4CC32" w14:textId="77777777">
            <w:pPr>
              <w:widowControl w:val="0"/>
              <w:numPr>
                <w:ilvl w:val="0"/>
                <w:numId w:val="4"/>
              </w:numPr>
              <w:spacing w:line="240" w:lineRule="auto"/>
              <w:rPr>
                <w:sz w:val="20"/>
                <w:szCs w:val="20"/>
              </w:rPr>
            </w:pPr>
            <w:r>
              <w:rPr>
                <w:sz w:val="20"/>
                <w:szCs w:val="20"/>
              </w:rPr>
              <w:t>The sum of the current account balance</w:t>
            </w:r>
            <w:r>
              <w:rPr>
                <w:sz w:val="20"/>
                <w:szCs w:val="20"/>
              </w:rPr>
              <w:t xml:space="preserve"> and capital account balance indicates whether the economy is a net lender to the rest of the world (in surplus) or a net borrower from the rest of the world (in deficit).</w:t>
            </w:r>
          </w:p>
          <w:p w:rsidR="00010168" w:rsidRDefault="00662E93" w14:paraId="447A8E74" w14:textId="77777777">
            <w:pPr>
              <w:widowControl w:val="0"/>
              <w:numPr>
                <w:ilvl w:val="0"/>
                <w:numId w:val="4"/>
              </w:numPr>
              <w:spacing w:line="240" w:lineRule="auto"/>
              <w:rPr>
                <w:sz w:val="20"/>
                <w:szCs w:val="20"/>
              </w:rPr>
            </w:pPr>
            <w:r>
              <w:rPr>
                <w:sz w:val="20"/>
                <w:szCs w:val="20"/>
              </w:rPr>
              <w:t>The financial account shows the net acquisition or net incurrence of financial asset</w:t>
            </w:r>
            <w:r>
              <w:rPr>
                <w:sz w:val="20"/>
                <w:szCs w:val="20"/>
              </w:rPr>
              <w:t>s and liabilities and is the counterpart to the current account and capital account. It records how the country is financing its borrowing from, or lending to, the rest of the world.</w:t>
            </w:r>
          </w:p>
          <w:p w:rsidR="00010168" w:rsidRDefault="00662E93" w14:paraId="2CB7CE62" w14:textId="77777777">
            <w:pPr>
              <w:widowControl w:val="0"/>
              <w:numPr>
                <w:ilvl w:val="0"/>
                <w:numId w:val="4"/>
              </w:numPr>
              <w:spacing w:line="240" w:lineRule="auto"/>
              <w:rPr>
                <w:sz w:val="20"/>
                <w:szCs w:val="20"/>
              </w:rPr>
            </w:pPr>
            <w:r>
              <w:rPr>
                <w:sz w:val="20"/>
                <w:szCs w:val="20"/>
              </w:rPr>
              <w:t>The international investment position (IIP) records the stock position of</w:t>
            </w:r>
            <w:r>
              <w:rPr>
                <w:sz w:val="20"/>
                <w:szCs w:val="20"/>
              </w:rPr>
              <w:t xml:space="preserve"> these financial investments. It shows at the end of the period the value of the stock of financial assets of residents of an economy that are claims on non-residents and the value of the stock of financial liabilities of residents of an economy to non-res</w:t>
            </w:r>
            <w:r>
              <w:rPr>
                <w:sz w:val="20"/>
                <w:szCs w:val="20"/>
              </w:rPr>
              <w:t>idents. The difference between the assets and liabilities in the IIP represents either a net claim on, or a net liability to, the rest of the world.</w:t>
            </w:r>
          </w:p>
          <w:p w:rsidR="00010168" w:rsidRDefault="00662E93" w14:paraId="22756211" w14:textId="77777777">
            <w:pPr>
              <w:widowControl w:val="0"/>
              <w:numPr>
                <w:ilvl w:val="0"/>
                <w:numId w:val="4"/>
              </w:numPr>
              <w:spacing w:line="240" w:lineRule="auto"/>
              <w:rPr>
                <w:sz w:val="20"/>
                <w:szCs w:val="20"/>
              </w:rPr>
            </w:pPr>
            <w:r>
              <w:rPr>
                <w:sz w:val="20"/>
                <w:szCs w:val="20"/>
              </w:rPr>
              <w:t xml:space="preserve">Further information about these sources can be found in the Balance of payments </w:t>
            </w:r>
            <w:hyperlink r:id="rId9">
              <w:r>
                <w:rPr>
                  <w:color w:val="000000"/>
                  <w:sz w:val="20"/>
                  <w:szCs w:val="20"/>
                  <w:u w:val="single"/>
                </w:rPr>
                <w:t>release</w:t>
              </w:r>
            </w:hyperlink>
            <w:r>
              <w:rPr>
                <w:sz w:val="20"/>
                <w:szCs w:val="20"/>
              </w:rPr>
              <w:t xml:space="preserve"> and in the </w:t>
            </w:r>
            <w:hyperlink r:id="rId10">
              <w:r>
                <w:rPr>
                  <w:color w:val="000000"/>
                  <w:sz w:val="20"/>
                  <w:szCs w:val="20"/>
                  <w:u w:val="single"/>
                </w:rPr>
                <w:t>Ba</w:t>
              </w:r>
              <w:r>
                <w:rPr>
                  <w:color w:val="000000"/>
                  <w:sz w:val="20"/>
                  <w:szCs w:val="20"/>
                  <w:u w:val="single"/>
                </w:rPr>
                <w:t>lance of payments Quality and Methodology Information report</w:t>
              </w:r>
            </w:hyperlink>
            <w:r>
              <w:rPr>
                <w:sz w:val="20"/>
                <w:szCs w:val="20"/>
              </w:rPr>
              <w:t>.</w:t>
            </w:r>
          </w:p>
          <w:p w:rsidR="00010168" w:rsidRDefault="00010168" w14:paraId="0C3FDF33" w14:textId="77777777">
            <w:pPr>
              <w:widowControl w:val="0"/>
              <w:spacing w:line="240" w:lineRule="auto"/>
              <w:ind w:left="720"/>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096263C6"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010168" w:rsidRDefault="00662E93" w14:paraId="1E9A57E8"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 xml:space="preserve">Access </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010168" w:rsidRDefault="00662E93" w14:paraId="222B22DE"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 xml:space="preserve">Open </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6BE57257" w14:textId="77777777">
            <w:pPr>
              <w:widowControl w:val="0"/>
              <w:jc w:val="center"/>
              <w:rPr>
                <w:rFonts w:ascii="Roboto" w:hAnsi="Roboto" w:eastAsia="Roboto" w:cs="Roboto"/>
                <w:sz w:val="20"/>
                <w:szCs w:val="20"/>
              </w:rPr>
            </w:pPr>
          </w:p>
        </w:tc>
      </w:tr>
      <w:tr w:rsidR="00010168" w:rsidTr="45CBF6C1" w14:paraId="0986EA23"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7AA984FB"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010168" w:rsidRDefault="00010168" w14:paraId="545F8D6A"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70C0FBA3"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010168" w:rsidRDefault="00662E93" w14:paraId="36829E24"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Group</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010168" w:rsidRDefault="00662E93" w14:paraId="4BF9A3B8"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Balance of payments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430A9F1D" w14:textId="77777777">
            <w:pPr>
              <w:widowControl w:val="0"/>
              <w:jc w:val="center"/>
              <w:rPr>
                <w:rFonts w:ascii="Roboto" w:hAnsi="Roboto" w:eastAsia="Roboto" w:cs="Roboto"/>
                <w:sz w:val="20"/>
                <w:szCs w:val="20"/>
              </w:rPr>
            </w:pPr>
          </w:p>
        </w:tc>
      </w:tr>
      <w:tr w:rsidR="00010168" w:rsidTr="45CBF6C1" w14:paraId="5C8B9BD0"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17D108F3"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010168" w:rsidRDefault="00010168" w14:paraId="495109A6"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44EC080F"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010168" w:rsidRDefault="00662E93" w14:paraId="2DFE10BA"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Aggregation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010168" w:rsidRDefault="00662E93" w14:paraId="06D46AEB"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Country, region (EU and non-EU).</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1E166774" w14:textId="77777777">
            <w:pPr>
              <w:widowControl w:val="0"/>
              <w:jc w:val="center"/>
              <w:rPr>
                <w:rFonts w:ascii="Roboto" w:hAnsi="Roboto" w:eastAsia="Roboto" w:cs="Roboto"/>
                <w:sz w:val="20"/>
                <w:szCs w:val="20"/>
              </w:rPr>
            </w:pPr>
          </w:p>
        </w:tc>
      </w:tr>
      <w:tr w:rsidR="00010168" w:rsidTr="45CBF6C1" w14:paraId="368EE266"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72E5701F"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010168" w:rsidRDefault="00010168" w14:paraId="670B553D"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38D1E84B"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010168" w:rsidRDefault="00662E93" w14:paraId="67C944A2"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Classification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010168" w:rsidRDefault="00662E93" w14:paraId="2F5AEE51"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EBOPS (Extended Balance of Payments Services Classification)</w:t>
            </w:r>
          </w:p>
          <w:p w:rsidR="00010168" w:rsidRDefault="00010168" w14:paraId="4E756FBE" w14:textId="77777777">
            <w:pPr>
              <w:widowControl w:val="0"/>
              <w:spacing w:line="240" w:lineRule="auto"/>
              <w:jc w:val="center"/>
              <w:rPr>
                <w:rFonts w:ascii="Roboto" w:hAnsi="Roboto" w:eastAsia="Roboto" w:cs="Roboto"/>
                <w:sz w:val="20"/>
                <w:szCs w:val="20"/>
              </w:rPr>
            </w:pPr>
          </w:p>
          <w:p w:rsidR="00010168" w:rsidRDefault="00662E93" w14:paraId="0A4CAF75"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Financial instruments – SNA 2008, Chapter 11 The Financial Account, and Chapter 113, The Balance Sheet</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3AF3D067" w14:textId="77777777">
            <w:pPr>
              <w:widowControl w:val="0"/>
              <w:jc w:val="center"/>
              <w:rPr>
                <w:rFonts w:ascii="Roboto" w:hAnsi="Roboto" w:eastAsia="Roboto" w:cs="Roboto"/>
                <w:sz w:val="20"/>
                <w:szCs w:val="20"/>
              </w:rPr>
            </w:pPr>
          </w:p>
        </w:tc>
      </w:tr>
      <w:tr w:rsidR="00010168" w:rsidTr="45CBF6C1" w14:paraId="612BC670" w14:textId="77777777">
        <w:trPr>
          <w:trHeight w:val="40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22903ADF"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010168" w:rsidRDefault="00010168" w14:paraId="122F525C"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010168" w:rsidRDefault="00010168" w14:paraId="3C7742A1"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010168" w:rsidRDefault="00662E93" w14:paraId="4643DE99"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Reporting Unit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010168" w:rsidRDefault="00662E93" w14:paraId="34BF71B1" w14:textId="77777777">
            <w:pPr>
              <w:widowControl w:val="0"/>
              <w:spacing w:line="240" w:lineRule="auto"/>
              <w:jc w:val="center"/>
              <w:rPr>
                <w:rFonts w:ascii="Roboto" w:hAnsi="Roboto" w:eastAsia="Roboto" w:cs="Roboto"/>
                <w:sz w:val="20"/>
                <w:szCs w:val="20"/>
              </w:rPr>
            </w:pPr>
            <w:r>
              <w:rPr>
                <w:sz w:val="20"/>
                <w:szCs w:val="20"/>
              </w:rPr>
              <w:t>Current prices (CP) – not adjusted for inflation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2F797289" w14:textId="77777777">
            <w:pPr>
              <w:widowControl w:val="0"/>
              <w:rPr>
                <w:rFonts w:ascii="Roboto" w:hAnsi="Roboto" w:eastAsia="Roboto" w:cs="Roboto"/>
                <w:sz w:val="20"/>
                <w:szCs w:val="20"/>
              </w:rPr>
            </w:pPr>
          </w:p>
        </w:tc>
      </w:tr>
      <w:tr w:rsidR="00010168" w:rsidTr="45CBF6C1" w14:paraId="0DA2527C" w14:textId="77777777">
        <w:trPr>
          <w:trHeight w:val="10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67689A44"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010168" w:rsidRDefault="00010168" w14:paraId="32F30BE7"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010168" w:rsidRDefault="00010168" w14:paraId="311C77A8"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0B5394"/>
            <w:tcMar>
              <w:top w:w="0" w:type="dxa"/>
              <w:left w:w="40" w:type="dxa"/>
              <w:bottom w:w="0" w:type="dxa"/>
              <w:right w:w="40" w:type="dxa"/>
            </w:tcMar>
            <w:vAlign w:val="center"/>
          </w:tcPr>
          <w:p w:rsidR="00010168" w:rsidRDefault="00662E93" w14:paraId="2C274099"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Source</w:t>
            </w:r>
          </w:p>
        </w:tc>
        <w:tc>
          <w:tcPr>
            <w:tcW w:w="2730"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auto"/>
            <w:tcMar>
              <w:top w:w="0" w:type="dxa"/>
              <w:left w:w="40" w:type="dxa"/>
              <w:bottom w:w="0" w:type="dxa"/>
              <w:right w:w="40" w:type="dxa"/>
            </w:tcMar>
            <w:vAlign w:val="center"/>
          </w:tcPr>
          <w:p w:rsidR="00010168" w:rsidRDefault="00662E93" w14:paraId="78E5FBE1" w14:textId="77777777">
            <w:pPr>
              <w:numPr>
                <w:ilvl w:val="0"/>
                <w:numId w:val="2"/>
              </w:numPr>
              <w:pBdr>
                <w:top w:val="nil"/>
                <w:left w:val="nil"/>
                <w:bottom w:val="nil"/>
                <w:right w:val="nil"/>
                <w:between w:val="nil"/>
              </w:pBdr>
              <w:spacing w:line="240" w:lineRule="auto"/>
              <w:rPr>
                <w:color w:val="000000"/>
              </w:rPr>
            </w:pPr>
            <w:r>
              <w:rPr>
                <w:color w:val="000000"/>
                <w:sz w:val="20"/>
                <w:szCs w:val="20"/>
              </w:rPr>
              <w:t>Overseas Trade Statistics (HM Revenue and Customs (HMRC))</w:t>
            </w:r>
          </w:p>
          <w:p w:rsidR="00010168" w:rsidRDefault="00662E93" w14:paraId="29FCDFD3" w14:textId="77777777">
            <w:pPr>
              <w:numPr>
                <w:ilvl w:val="0"/>
                <w:numId w:val="2"/>
              </w:numPr>
              <w:pBdr>
                <w:top w:val="nil"/>
                <w:left w:val="nil"/>
                <w:bottom w:val="nil"/>
                <w:right w:val="nil"/>
                <w:between w:val="nil"/>
              </w:pBdr>
              <w:spacing w:line="240" w:lineRule="auto"/>
              <w:rPr>
                <w:color w:val="000000"/>
              </w:rPr>
            </w:pPr>
            <w:r>
              <w:rPr>
                <w:color w:val="000000"/>
                <w:sz w:val="20"/>
                <w:szCs w:val="20"/>
              </w:rPr>
              <w:t>International Trade in Services Survey (Office for National Statistics (ONS))</w:t>
            </w:r>
          </w:p>
          <w:p w:rsidR="00010168" w:rsidRDefault="00662E93" w14:paraId="65236982" w14:textId="77777777">
            <w:pPr>
              <w:numPr>
                <w:ilvl w:val="0"/>
                <w:numId w:val="2"/>
              </w:numPr>
              <w:pBdr>
                <w:top w:val="nil"/>
                <w:left w:val="nil"/>
                <w:bottom w:val="nil"/>
                <w:right w:val="nil"/>
                <w:between w:val="nil"/>
              </w:pBdr>
              <w:spacing w:line="240" w:lineRule="auto"/>
              <w:rPr>
                <w:color w:val="000000"/>
              </w:rPr>
            </w:pPr>
            <w:r>
              <w:rPr>
                <w:color w:val="000000"/>
                <w:sz w:val="20"/>
                <w:szCs w:val="20"/>
              </w:rPr>
              <w:t>International Passenger Survey (ONS)</w:t>
            </w:r>
          </w:p>
          <w:p w:rsidR="00010168" w:rsidRDefault="00662E93" w14:paraId="1A93817C" w14:textId="77777777">
            <w:pPr>
              <w:numPr>
                <w:ilvl w:val="0"/>
                <w:numId w:val="2"/>
              </w:numPr>
              <w:pBdr>
                <w:top w:val="nil"/>
                <w:left w:val="nil"/>
                <w:bottom w:val="nil"/>
                <w:right w:val="nil"/>
                <w:between w:val="nil"/>
              </w:pBdr>
              <w:spacing w:line="240" w:lineRule="auto"/>
              <w:rPr>
                <w:color w:val="000000"/>
              </w:rPr>
            </w:pPr>
            <w:r>
              <w:rPr>
                <w:color w:val="000000"/>
                <w:sz w:val="20"/>
                <w:szCs w:val="20"/>
              </w:rPr>
              <w:t>Foreign Direct Investment Survey (ONS and Bank of England (BoE))</w:t>
            </w:r>
          </w:p>
          <w:p w:rsidR="00010168" w:rsidRDefault="00662E93" w14:paraId="27DB430C" w14:textId="77777777">
            <w:pPr>
              <w:numPr>
                <w:ilvl w:val="0"/>
                <w:numId w:val="2"/>
              </w:numPr>
              <w:pBdr>
                <w:top w:val="nil"/>
                <w:left w:val="nil"/>
                <w:bottom w:val="nil"/>
                <w:right w:val="nil"/>
                <w:between w:val="nil"/>
              </w:pBdr>
              <w:spacing w:line="240" w:lineRule="auto"/>
              <w:rPr>
                <w:color w:val="000000"/>
              </w:rPr>
            </w:pPr>
            <w:r>
              <w:rPr>
                <w:color w:val="000000"/>
                <w:sz w:val="20"/>
                <w:szCs w:val="20"/>
              </w:rPr>
              <w:t>Various financial inquiries (ONS and BoE)</w:t>
            </w:r>
          </w:p>
          <w:p w:rsidR="00010168" w:rsidRDefault="00662E93" w14:paraId="21A7E466" w14:textId="77777777">
            <w:pPr>
              <w:numPr>
                <w:ilvl w:val="0"/>
                <w:numId w:val="2"/>
              </w:numPr>
              <w:pBdr>
                <w:top w:val="nil"/>
                <w:left w:val="nil"/>
                <w:bottom w:val="nil"/>
                <w:right w:val="nil"/>
                <w:between w:val="nil"/>
              </w:pBdr>
              <w:spacing w:line="240" w:lineRule="auto"/>
              <w:rPr>
                <w:color w:val="000000"/>
              </w:rPr>
            </w:pPr>
            <w:r>
              <w:rPr>
                <w:color w:val="000000"/>
                <w:sz w:val="20"/>
                <w:szCs w:val="20"/>
              </w:rPr>
              <w:t>Ownership of UK Quoted Shares Surv</w:t>
            </w:r>
            <w:r>
              <w:rPr>
                <w:color w:val="000000"/>
                <w:sz w:val="20"/>
                <w:szCs w:val="20"/>
              </w:rPr>
              <w:t>ey (ONS)</w:t>
            </w:r>
          </w:p>
          <w:p w:rsidR="00010168" w:rsidRDefault="00010168" w14:paraId="40F1EA02" w14:textId="77777777">
            <w:pPr>
              <w:widowControl w:val="0"/>
              <w:spacing w:line="240" w:lineRule="auto"/>
              <w:jc w:val="center"/>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tcPr>
          <w:p w:rsidR="00010168" w:rsidRDefault="00010168" w14:paraId="1BAB171C" w14:textId="77777777">
            <w:pPr>
              <w:widowControl w:val="0"/>
              <w:rPr>
                <w:rFonts w:ascii="Roboto" w:hAnsi="Roboto" w:eastAsia="Roboto" w:cs="Roboto"/>
                <w:sz w:val="20"/>
                <w:szCs w:val="20"/>
              </w:rPr>
            </w:pPr>
          </w:p>
        </w:tc>
      </w:tr>
      <w:tr w:rsidR="00010168" w:rsidTr="45CBF6C1" w14:paraId="3E40634B"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27431333" w14:textId="77777777">
            <w:pPr>
              <w:widowControl w:val="0"/>
              <w:rPr>
                <w:rFonts w:ascii="Roboto" w:hAnsi="Roboto" w:eastAsia="Roboto" w:cs="Roboto"/>
                <w:sz w:val="20"/>
                <w:szCs w:val="20"/>
              </w:rPr>
            </w:pPr>
          </w:p>
        </w:tc>
        <w:tc>
          <w:tcPr>
            <w:tcW w:w="265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53444F30"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7E9EBF19"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2B161A0B"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09F1EA7F"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20BDBD17" w14:textId="77777777">
            <w:pPr>
              <w:widowControl w:val="0"/>
              <w:rPr>
                <w:rFonts w:ascii="Roboto" w:hAnsi="Roboto" w:eastAsia="Roboto" w:cs="Roboto"/>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2A0BE29D" w14:textId="77777777">
            <w:pPr>
              <w:widowControl w:val="0"/>
              <w:rPr>
                <w:rFonts w:ascii="Roboto" w:hAnsi="Roboto" w:eastAsia="Roboto" w:cs="Roboto"/>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250170E9"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4355663F" w14:textId="77777777">
            <w:pPr>
              <w:widowControl w:val="0"/>
              <w:rPr>
                <w:rFonts w:ascii="Roboto" w:hAnsi="Roboto" w:eastAsia="Roboto" w:cs="Roboto"/>
                <w:sz w:val="20"/>
                <w:szCs w:val="20"/>
              </w:rPr>
            </w:pPr>
          </w:p>
        </w:tc>
      </w:tr>
      <w:tr w:rsidR="00010168" w:rsidTr="45CBF6C1" w14:paraId="4DC5B687"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472DF702"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010168" w:rsidRDefault="00662E93" w14:paraId="4969DB7F"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Recommended Usage</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7D1673D2" w14:textId="77777777">
            <w:pPr>
              <w:widowControl w:val="0"/>
              <w:rPr>
                <w:rFonts w:ascii="Roboto" w:hAnsi="Roboto" w:eastAsia="Roboto" w:cs="Roboto"/>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61663393"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28D58B03" w14:textId="77777777">
            <w:pPr>
              <w:widowControl w:val="0"/>
              <w:spacing w:line="240" w:lineRule="auto"/>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56" w:type="dxa"/>
              <w:left w:w="56" w:type="dxa"/>
              <w:bottom w:w="56" w:type="dxa"/>
              <w:right w:w="56" w:type="dxa"/>
            </w:tcMar>
            <w:vAlign w:val="center"/>
          </w:tcPr>
          <w:p w:rsidR="00010168" w:rsidRDefault="00662E93" w14:paraId="2342A831" w14:textId="7777777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4F3B18D2"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293412E5" w14:textId="77777777">
            <w:pPr>
              <w:widowControl w:val="0"/>
              <w:rPr>
                <w:rFonts w:ascii="Roboto" w:hAnsi="Roboto" w:eastAsia="Roboto" w:cs="Roboto"/>
                <w:sz w:val="20"/>
                <w:szCs w:val="20"/>
              </w:rPr>
            </w:pPr>
          </w:p>
        </w:tc>
      </w:tr>
      <w:tr w:rsidR="00010168" w:rsidTr="45CBF6C1" w14:paraId="2D20352F"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34F842FE" w14:textId="77777777">
            <w:pPr>
              <w:widowControl w:val="0"/>
              <w:rPr>
                <w:rFonts w:ascii="Roboto" w:hAnsi="Roboto" w:eastAsia="Roboto" w:cs="Roboto"/>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010168" w:rsidRDefault="00662E93" w14:paraId="332EDDF8" w14:textId="77777777">
            <w:pPr>
              <w:widowControl w:val="0"/>
              <w:spacing w:line="240" w:lineRule="auto"/>
              <w:ind w:left="360"/>
              <w:rPr>
                <w:sz w:val="20"/>
                <w:szCs w:val="20"/>
              </w:rPr>
            </w:pPr>
            <w:bookmarkStart w:name="_30j0zll" w:colFirst="0" w:colLast="0" w:id="1"/>
            <w:bookmarkEnd w:id="1"/>
            <w:r>
              <w:rPr>
                <w:sz w:val="20"/>
                <w:szCs w:val="20"/>
              </w:rPr>
              <w:t>The UK Balance of Payments Pink Book provides detailed annual data on:</w:t>
            </w:r>
          </w:p>
          <w:p w:rsidR="00010168" w:rsidRDefault="00662E93" w14:paraId="280648D0" w14:textId="77777777">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trade in goods and services;</w:t>
            </w:r>
          </w:p>
          <w:p w:rsidR="00010168" w:rsidRDefault="00662E93" w14:paraId="1424259D" w14:textId="77777777">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investment income on foreign assets and liabilities</w:t>
            </w:r>
          </w:p>
          <w:p w:rsidR="00010168" w:rsidRDefault="00662E93" w14:paraId="49C3A78A" w14:textId="77777777">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cross-border transfers</w:t>
            </w:r>
          </w:p>
          <w:p w:rsidR="00010168" w:rsidRDefault="00662E93" w14:paraId="71FF391D" w14:textId="77777777">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the acquisition and incurrence of foreign financial assets and liabilities</w:t>
            </w:r>
          </w:p>
          <w:p w:rsidR="00010168" w:rsidRDefault="00662E93" w14:paraId="673F0186" w14:textId="77777777">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the stock positions of foreign assets and liabilities</w:t>
            </w:r>
          </w:p>
          <w:p w:rsidR="00010168" w:rsidRDefault="00662E93" w14:paraId="772A5269" w14:textId="77777777">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The Pink Book includes geographic data on major trading partners for the current account and international investment position.</w:t>
            </w:r>
            <w:r>
              <w:rPr>
                <w:color w:val="000000"/>
                <w:sz w:val="20"/>
                <w:szCs w:val="20"/>
              </w:rPr>
              <w:t xml:space="preserve"> </w:t>
            </w:r>
          </w:p>
          <w:p w:rsidR="00010168" w:rsidRDefault="00662E93" w14:paraId="2DA87317" w14:textId="77777777">
            <w:pPr>
              <w:widowControl w:val="0"/>
              <w:numPr>
                <w:ilvl w:val="0"/>
                <w:numId w:val="3"/>
              </w:numPr>
              <w:pBdr>
                <w:top w:val="nil"/>
                <w:left w:val="nil"/>
                <w:bottom w:val="nil"/>
                <w:right w:val="nil"/>
                <w:between w:val="nil"/>
              </w:pBdr>
              <w:spacing w:line="240" w:lineRule="auto"/>
              <w:rPr>
                <w:color w:val="000000"/>
                <w:sz w:val="20"/>
                <w:szCs w:val="20"/>
              </w:rPr>
            </w:pPr>
            <w:r>
              <w:rPr>
                <w:color w:val="000000"/>
                <w:sz w:val="20"/>
                <w:szCs w:val="20"/>
              </w:rPr>
              <w:t>The Pink Book also summarises official transactions with the European Union.</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32541764" w14:textId="77777777">
            <w:pPr>
              <w:widowControl w:val="0"/>
              <w:spacing w:line="240" w:lineRule="auto"/>
              <w:rPr>
                <w:rFonts w:ascii="Roboto" w:hAnsi="Roboto" w:eastAsia="Roboto" w:cs="Roboto"/>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010168" w:rsidRDefault="00662E93" w14:paraId="5F122F98"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department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010168" w:rsidRDefault="00662E93" w14:paraId="57B8B302" w14:textId="77777777">
            <w:pPr>
              <w:widowControl w:val="0"/>
              <w:spacing w:line="240" w:lineRule="auto"/>
              <w:jc w:val="center"/>
              <w:rPr>
                <w:rFonts w:ascii="Roboto" w:hAnsi="Roboto" w:eastAsia="Roboto" w:cs="Roboto"/>
                <w:sz w:val="20"/>
                <w:szCs w:val="20"/>
              </w:rPr>
            </w:pPr>
            <w:r>
              <w:rPr>
                <w:rFonts w:ascii="Roboto" w:hAnsi="Roboto" w:eastAsia="Roboto" w:cs="Roboto"/>
                <w:sz w:val="20"/>
                <w:szCs w:val="20"/>
              </w:rPr>
              <w:t>ONS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63B836EE" w14:textId="77777777">
            <w:pPr>
              <w:widowControl w:val="0"/>
              <w:rPr>
                <w:rFonts w:ascii="Roboto" w:hAnsi="Roboto" w:eastAsia="Roboto" w:cs="Roboto"/>
                <w:sz w:val="20"/>
                <w:szCs w:val="20"/>
              </w:rPr>
            </w:pPr>
          </w:p>
        </w:tc>
      </w:tr>
      <w:tr w:rsidR="00010168" w:rsidTr="45CBF6C1" w14:paraId="270A53E0"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47A5150E"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010168" w:rsidRDefault="00010168" w14:paraId="232590C8"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73300233" w14:textId="77777777">
            <w:pPr>
              <w:widowControl w:val="0"/>
              <w:spacing w:line="240" w:lineRule="auto"/>
              <w:rPr>
                <w:rFonts w:ascii="Roboto" w:hAnsi="Roboto" w:eastAsia="Roboto" w:cs="Roboto"/>
                <w:sz w:val="20"/>
                <w:szCs w:val="20"/>
              </w:rPr>
            </w:pPr>
          </w:p>
        </w:tc>
        <w:tc>
          <w:tcPr>
            <w:tcW w:w="178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010168" w:rsidRDefault="00662E93" w14:paraId="13D14B8D" w14:textId="77777777">
            <w:pPr>
              <w:widowControl w:val="0"/>
              <w:spacing w:line="240" w:lineRule="auto"/>
              <w:jc w:val="center"/>
              <w:rPr>
                <w:rFonts w:ascii="Roboto" w:hAnsi="Roboto" w:eastAsia="Roboto" w:cs="Roboto"/>
                <w:color w:val="FFFFFF"/>
                <w:sz w:val="20"/>
                <w:szCs w:val="20"/>
              </w:rPr>
            </w:pPr>
            <w:r>
              <w:rPr>
                <w:rFonts w:ascii="Roboto" w:hAnsi="Roboto" w:eastAsia="Roboto" w:cs="Roboto"/>
                <w:color w:val="FFFFFF"/>
                <w:sz w:val="20"/>
                <w:szCs w:val="20"/>
              </w:rPr>
              <w:t>Key individuals</w:t>
            </w:r>
          </w:p>
        </w:tc>
        <w:tc>
          <w:tcPr>
            <w:tcW w:w="2730"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010168" w:rsidRDefault="00662E93" w14:paraId="5F4C1EC9" w14:textId="77777777">
            <w:pPr>
              <w:widowControl w:val="0"/>
              <w:spacing w:line="240" w:lineRule="auto"/>
              <w:jc w:val="center"/>
              <w:rPr>
                <w:i/>
                <w:sz w:val="20"/>
                <w:szCs w:val="20"/>
              </w:rPr>
            </w:pPr>
            <w:r>
              <w:rPr>
                <w:b/>
                <w:sz w:val="20"/>
                <w:szCs w:val="20"/>
              </w:rPr>
              <w:t>Richard McCrae</w:t>
            </w:r>
          </w:p>
          <w:p w:rsidR="00010168" w:rsidRDefault="00010168" w14:paraId="0645F890" w14:textId="77777777">
            <w:pPr>
              <w:widowControl w:val="0"/>
              <w:spacing w:line="240" w:lineRule="auto"/>
              <w:jc w:val="center"/>
              <w:rPr>
                <w:b/>
                <w:sz w:val="20"/>
                <w:szCs w:val="20"/>
              </w:rPr>
            </w:pPr>
          </w:p>
          <w:p w:rsidR="00010168" w:rsidRDefault="00662E93" w14:paraId="455D633C" w14:textId="77777777">
            <w:pPr>
              <w:widowControl w:val="0"/>
              <w:spacing w:line="240" w:lineRule="auto"/>
              <w:jc w:val="center"/>
              <w:rPr>
                <w:sz w:val="20"/>
                <w:szCs w:val="20"/>
              </w:rPr>
            </w:pPr>
            <w:hyperlink r:id="rId11">
              <w:r>
                <w:rPr>
                  <w:color w:val="0000FF"/>
                  <w:sz w:val="20"/>
                  <w:szCs w:val="20"/>
                  <w:u w:val="single"/>
                </w:rPr>
                <w:t>bop@ons.gov.uk</w:t>
              </w:r>
            </w:hyperlink>
          </w:p>
          <w:p w:rsidR="00010168" w:rsidRDefault="00010168" w14:paraId="2AB4D41B" w14:textId="77777777">
            <w:pPr>
              <w:widowControl w:val="0"/>
              <w:spacing w:line="240" w:lineRule="auto"/>
              <w:jc w:val="center"/>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7639EB71" w14:textId="77777777">
            <w:pPr>
              <w:widowControl w:val="0"/>
              <w:rPr>
                <w:rFonts w:ascii="Roboto" w:hAnsi="Roboto" w:eastAsia="Roboto" w:cs="Roboto"/>
                <w:sz w:val="20"/>
                <w:szCs w:val="20"/>
              </w:rPr>
            </w:pPr>
          </w:p>
        </w:tc>
      </w:tr>
      <w:tr w:rsidR="00010168" w:rsidTr="45CBF6C1" w14:paraId="392FD148" w14:textId="77777777">
        <w:trPr>
          <w:trHeight w:val="9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52407BBC" w14:textId="77777777">
            <w:pPr>
              <w:widowControl w:val="0"/>
              <w:rPr>
                <w:rFonts w:ascii="Roboto" w:hAnsi="Roboto" w:eastAsia="Roboto" w:cs="Roboto"/>
                <w:sz w:val="20"/>
                <w:szCs w:val="20"/>
              </w:rPr>
            </w:pPr>
          </w:p>
        </w:tc>
        <w:tc>
          <w:tcPr>
            <w:tcW w:w="5820" w:type="dxa"/>
            <w:gridSpan w:val="5"/>
            <w:vMerge/>
            <w:tcBorders/>
            <w:tcMar>
              <w:top w:w="0" w:type="dxa"/>
              <w:left w:w="40" w:type="dxa"/>
              <w:bottom w:w="0" w:type="dxa"/>
              <w:right w:w="40" w:type="dxa"/>
            </w:tcMar>
            <w:vAlign w:val="center"/>
          </w:tcPr>
          <w:p w:rsidR="00010168" w:rsidRDefault="00010168" w14:paraId="0ED7C074"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05FEDDDD" w14:textId="77777777">
            <w:pPr>
              <w:widowControl w:val="0"/>
              <w:spacing w:line="240" w:lineRule="auto"/>
              <w:rPr>
                <w:rFonts w:ascii="Roboto" w:hAnsi="Roboto" w:eastAsia="Roboto" w:cs="Roboto"/>
                <w:sz w:val="20"/>
                <w:szCs w:val="20"/>
              </w:rPr>
            </w:pPr>
          </w:p>
        </w:tc>
        <w:tc>
          <w:tcPr>
            <w:tcW w:w="1785" w:type="dxa"/>
            <w:vMerge/>
            <w:tcBorders/>
            <w:tcMar>
              <w:top w:w="56" w:type="dxa"/>
              <w:left w:w="56" w:type="dxa"/>
              <w:bottom w:w="56" w:type="dxa"/>
              <w:right w:w="56" w:type="dxa"/>
            </w:tcMar>
            <w:vAlign w:val="center"/>
          </w:tcPr>
          <w:p w:rsidR="00010168" w:rsidRDefault="00010168" w14:paraId="1D9211D9" w14:textId="77777777">
            <w:pPr>
              <w:widowControl w:val="0"/>
              <w:pBdr>
                <w:top w:val="nil"/>
                <w:left w:val="nil"/>
                <w:bottom w:val="nil"/>
                <w:right w:val="nil"/>
                <w:between w:val="nil"/>
              </w:pBdr>
              <w:rPr>
                <w:rFonts w:ascii="Roboto" w:hAnsi="Roboto" w:eastAsia="Roboto" w:cs="Roboto"/>
                <w:sz w:val="20"/>
                <w:szCs w:val="20"/>
              </w:rPr>
            </w:pPr>
          </w:p>
        </w:tc>
        <w:tc>
          <w:tcPr>
            <w:tcW w:w="2730" w:type="dxa"/>
            <w:vMerge/>
            <w:tcBorders/>
            <w:tcMar>
              <w:top w:w="0" w:type="dxa"/>
              <w:left w:w="40" w:type="dxa"/>
              <w:bottom w:w="0" w:type="dxa"/>
              <w:right w:w="40" w:type="dxa"/>
            </w:tcMar>
            <w:vAlign w:val="center"/>
          </w:tcPr>
          <w:p w:rsidR="00010168" w:rsidRDefault="00010168" w14:paraId="07C36BE8"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6F0F4DFD" w14:textId="77777777">
            <w:pPr>
              <w:widowControl w:val="0"/>
              <w:rPr>
                <w:rFonts w:ascii="Roboto" w:hAnsi="Roboto" w:eastAsia="Roboto" w:cs="Roboto"/>
                <w:sz w:val="20"/>
                <w:szCs w:val="20"/>
              </w:rPr>
            </w:pPr>
          </w:p>
        </w:tc>
      </w:tr>
      <w:tr w:rsidR="00010168" w:rsidTr="45CBF6C1" w14:paraId="1C703D0A" w14:textId="77777777">
        <w:trPr>
          <w:trHeight w:val="12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7A7C800F"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1549B58A" w14:textId="77777777">
            <w:pPr>
              <w:widowControl w:val="0"/>
              <w:spacing w:line="240" w:lineRule="auto"/>
              <w:rPr>
                <w:rFonts w:ascii="Roboto" w:hAnsi="Roboto" w:eastAsia="Roboto" w:cs="Roboto"/>
                <w:sz w:val="20"/>
                <w:szCs w:val="20"/>
              </w:rPr>
            </w:pPr>
          </w:p>
        </w:tc>
        <w:tc>
          <w:tcPr>
            <w:tcW w:w="9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47C62CCC" w14:textId="77777777">
            <w:pPr>
              <w:widowControl w:val="0"/>
              <w:rPr>
                <w:rFonts w:ascii="Roboto" w:hAnsi="Roboto" w:eastAsia="Roboto" w:cs="Roboto"/>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18B17AC2" w14:textId="77777777">
            <w:pPr>
              <w:widowControl w:val="0"/>
              <w:rPr>
                <w:rFonts w:ascii="Roboto" w:hAnsi="Roboto" w:eastAsia="Roboto" w:cs="Roboto"/>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6BBF267C" w14:textId="77777777">
            <w:pPr>
              <w:widowControl w:val="0"/>
              <w:rPr>
                <w:rFonts w:ascii="Roboto" w:hAnsi="Roboto" w:eastAsia="Roboto" w:cs="Roboto"/>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1F34643A"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37F5BE3E" w14:textId="77777777">
            <w:pPr>
              <w:widowControl w:val="0"/>
              <w:rPr>
                <w:rFonts w:ascii="Roboto" w:hAnsi="Roboto" w:eastAsia="Roboto" w:cs="Roboto"/>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69901AB3" w14:textId="77777777">
            <w:pPr>
              <w:widowControl w:val="0"/>
              <w:rPr>
                <w:rFonts w:ascii="Roboto" w:hAnsi="Roboto" w:eastAsia="Roboto" w:cs="Roboto"/>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010168" w:rsidRDefault="00010168" w14:paraId="585D3E7C"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0C3305C0" w14:textId="77777777">
            <w:pPr>
              <w:widowControl w:val="0"/>
              <w:rPr>
                <w:rFonts w:ascii="Roboto" w:hAnsi="Roboto" w:eastAsia="Roboto" w:cs="Roboto"/>
                <w:sz w:val="20"/>
                <w:szCs w:val="20"/>
              </w:rPr>
            </w:pPr>
          </w:p>
        </w:tc>
      </w:tr>
      <w:tr w:rsidR="00010168" w:rsidTr="45CBF6C1" w14:paraId="5BE66F53"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010168" w:rsidRDefault="00010168" w14:paraId="18E27B82" w14:textId="77777777">
            <w:pPr>
              <w:widowControl w:val="0"/>
              <w:rPr>
                <w:rFonts w:ascii="Roboto" w:hAnsi="Roboto" w:eastAsia="Roboto" w:cs="Roboto"/>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010168" w:rsidRDefault="00662E93" w14:paraId="43A8D9A8"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Quality Indicators</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3FB2DB0C" w14:textId="77777777">
            <w:pPr>
              <w:widowControl w:val="0"/>
              <w:jc w:val="center"/>
              <w:rPr>
                <w:rFonts w:ascii="Roboto" w:hAnsi="Roboto" w:eastAsia="Roboto" w:cs="Roboto"/>
                <w:b/>
                <w:color w:val="FFFFFF"/>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4B8A2D1B" w14:textId="77777777">
            <w:pPr>
              <w:widowControl w:val="0"/>
              <w:jc w:val="center"/>
              <w:rPr>
                <w:rFonts w:ascii="Roboto" w:hAnsi="Roboto" w:eastAsia="Roboto" w:cs="Roboto"/>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0EF1452B" w14:textId="77777777">
            <w:pPr>
              <w:widowControl w:val="0"/>
              <w:rPr>
                <w:rFonts w:ascii="Roboto" w:hAnsi="Roboto" w:eastAsia="Roboto" w:cs="Roboto"/>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010168" w:rsidRDefault="00662E93" w14:paraId="58F74CB9"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Related Datasets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010168" w:rsidRDefault="00010168" w14:paraId="224747B3" w14:textId="77777777">
            <w:pPr>
              <w:widowControl w:val="0"/>
              <w:rPr>
                <w:rFonts w:ascii="Roboto" w:hAnsi="Roboto" w:eastAsia="Roboto" w:cs="Roboto"/>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2396667C" w14:textId="77777777">
            <w:pPr>
              <w:widowControl w:val="0"/>
              <w:rPr>
                <w:rFonts w:ascii="Roboto" w:hAnsi="Roboto" w:eastAsia="Roboto" w:cs="Roboto"/>
                <w:sz w:val="20"/>
                <w:szCs w:val="20"/>
              </w:rPr>
            </w:pPr>
          </w:p>
        </w:tc>
      </w:tr>
      <w:tr w:rsidR="00010168" w:rsidTr="45CBF6C1" w14:paraId="3F7ECF7E"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3249998C"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010168" w:rsidRDefault="00662E93" w14:paraId="4C9453E5"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Status</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010168" w:rsidRDefault="00662E93" w14:paraId="71634F55" w14:textId="77777777">
            <w:pPr>
              <w:widowControl w:val="0"/>
              <w:spacing w:line="240" w:lineRule="auto"/>
              <w:jc w:val="center"/>
              <w:rPr>
                <w:rFonts w:ascii="Roboto" w:hAnsi="Roboto" w:eastAsia="Roboto" w:cs="Roboto"/>
                <w:b/>
                <w:sz w:val="20"/>
                <w:szCs w:val="20"/>
              </w:rPr>
            </w:pPr>
            <w:r>
              <w:rPr>
                <w:sz w:val="20"/>
                <w:szCs w:val="20"/>
              </w:rPr>
              <w:t>National Statistics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09E7533D" w14:textId="77777777">
            <w:pPr>
              <w:widowControl w:val="0"/>
              <w:jc w:val="center"/>
              <w:rPr>
                <w:rFonts w:ascii="Roboto" w:hAnsi="Roboto" w:eastAsia="Roboto" w:cs="Roboto"/>
                <w:sz w:val="20"/>
                <w:szCs w:val="20"/>
              </w:rPr>
            </w:pPr>
          </w:p>
        </w:tc>
        <w:tc>
          <w:tcPr>
            <w:tcW w:w="4515" w:type="dxa"/>
            <w:gridSpan w:val="2"/>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010168" w:rsidRDefault="00662E93" w14:paraId="0A70F93F" w14:textId="77777777">
            <w:pPr>
              <w:widowControl w:val="0"/>
              <w:spacing w:line="240" w:lineRule="auto"/>
              <w:jc w:val="center"/>
              <w:rPr>
                <w:sz w:val="20"/>
                <w:szCs w:val="20"/>
              </w:rPr>
            </w:pPr>
            <w:hyperlink r:id="rId12">
              <w:r>
                <w:rPr>
                  <w:color w:val="0000FF"/>
                  <w:sz w:val="20"/>
                  <w:szCs w:val="20"/>
                  <w:u w:val="single"/>
                </w:rPr>
                <w:t>Balance of Payments</w:t>
              </w:r>
            </w:hyperlink>
          </w:p>
          <w:p w:rsidR="00010168" w:rsidRDefault="00010168" w14:paraId="2B168E33" w14:textId="77777777">
            <w:pPr>
              <w:widowControl w:val="0"/>
              <w:spacing w:line="240" w:lineRule="auto"/>
              <w:jc w:val="center"/>
              <w:rPr>
                <w:sz w:val="20"/>
                <w:szCs w:val="20"/>
              </w:rPr>
            </w:pPr>
          </w:p>
          <w:p w:rsidR="00010168" w:rsidRDefault="00662E93" w14:paraId="1B5A09BB" w14:textId="77777777">
            <w:pPr>
              <w:widowControl w:val="0"/>
              <w:spacing w:line="240" w:lineRule="auto"/>
              <w:jc w:val="center"/>
              <w:rPr>
                <w:sz w:val="20"/>
                <w:szCs w:val="20"/>
              </w:rPr>
            </w:pPr>
            <w:hyperlink r:id="rId13">
              <w:r>
                <w:rPr>
                  <w:color w:val="0000FF"/>
                  <w:sz w:val="20"/>
                  <w:szCs w:val="20"/>
                  <w:u w:val="single"/>
                </w:rPr>
                <w:t>Trade statistics</w:t>
              </w:r>
            </w:hyperlink>
          </w:p>
          <w:p w:rsidR="00010168" w:rsidRDefault="00010168" w14:paraId="6833FE2F" w14:textId="77777777">
            <w:pPr>
              <w:widowControl w:val="0"/>
              <w:spacing w:line="240" w:lineRule="auto"/>
              <w:jc w:val="center"/>
              <w:rPr>
                <w:sz w:val="20"/>
                <w:szCs w:val="20"/>
              </w:rPr>
            </w:pPr>
          </w:p>
          <w:p w:rsidR="00010168" w:rsidRDefault="00662E93" w14:paraId="2DAB3435" w14:textId="77777777">
            <w:pPr>
              <w:widowControl w:val="0"/>
              <w:spacing w:line="240" w:lineRule="auto"/>
              <w:jc w:val="center"/>
              <w:rPr>
                <w:color w:val="0000FF"/>
                <w:sz w:val="20"/>
                <w:szCs w:val="20"/>
                <w:u w:val="single"/>
              </w:rPr>
            </w:pPr>
            <w:hyperlink r:id="rId14">
              <w:r>
                <w:rPr>
                  <w:color w:val="0000FF"/>
                  <w:sz w:val="20"/>
                  <w:szCs w:val="20"/>
                  <w:u w:val="single"/>
                </w:rPr>
                <w:t>UK sector accounts</w:t>
              </w:r>
            </w:hyperlink>
          </w:p>
          <w:p w:rsidR="00010168" w:rsidRDefault="00010168" w14:paraId="1BFE94A5" w14:textId="77777777">
            <w:pPr>
              <w:widowControl w:val="0"/>
              <w:spacing w:line="240" w:lineRule="auto"/>
              <w:jc w:val="center"/>
              <w:rPr>
                <w:color w:val="0000FF"/>
                <w:u w:val="single"/>
              </w:rPr>
            </w:pPr>
          </w:p>
          <w:p w:rsidR="00010168" w:rsidRDefault="00662E93" w14:paraId="10994B0C" w14:textId="77777777">
            <w:pPr>
              <w:widowControl w:val="0"/>
              <w:spacing w:line="240" w:lineRule="auto"/>
              <w:jc w:val="center"/>
              <w:rPr>
                <w:sz w:val="20"/>
                <w:szCs w:val="20"/>
              </w:rPr>
            </w:pPr>
            <w:hyperlink r:id="rId15">
              <w:r>
                <w:rPr>
                  <w:color w:val="0000FF"/>
                  <w:sz w:val="20"/>
                  <w:szCs w:val="20"/>
                  <w:u w:val="single"/>
                </w:rPr>
                <w:t>Foreign Direct Investment</w:t>
              </w:r>
            </w:hyperlink>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63E0BB50" w14:textId="77777777">
            <w:pPr>
              <w:widowControl w:val="0"/>
              <w:rPr>
                <w:rFonts w:ascii="Roboto" w:hAnsi="Roboto" w:eastAsia="Roboto" w:cs="Roboto"/>
                <w:sz w:val="20"/>
                <w:szCs w:val="20"/>
              </w:rPr>
            </w:pPr>
          </w:p>
        </w:tc>
      </w:tr>
      <w:tr w:rsidR="00010168" w:rsidTr="45CBF6C1" w14:paraId="2F5FFFE2" w14:textId="77777777">
        <w:trPr>
          <w:trHeight w:val="6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7EEAF008" w14:textId="77777777">
            <w:pPr>
              <w:widowControl w:val="0"/>
              <w:rPr>
                <w:rFonts w:ascii="Roboto" w:hAnsi="Roboto" w:eastAsia="Roboto" w:cs="Roboto"/>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6AA84F"/>
            <w:tcMar>
              <w:top w:w="0" w:type="dxa"/>
              <w:left w:w="40" w:type="dxa"/>
              <w:bottom w:w="0" w:type="dxa"/>
              <w:right w:w="40" w:type="dxa"/>
            </w:tcMar>
            <w:vAlign w:val="center"/>
          </w:tcPr>
          <w:p w:rsidR="00010168" w:rsidRDefault="00662E93" w14:paraId="16076C41"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Strengths +</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010168" w:rsidRDefault="00662E93" w14:paraId="35D0AB24" w14:textId="77777777">
            <w:pPr>
              <w:widowControl w:val="0"/>
              <w:numPr>
                <w:ilvl w:val="0"/>
                <w:numId w:val="1"/>
              </w:numPr>
              <w:pBdr>
                <w:top w:val="nil"/>
                <w:left w:val="nil"/>
                <w:bottom w:val="nil"/>
                <w:right w:val="nil"/>
                <w:between w:val="nil"/>
              </w:pBdr>
              <w:spacing w:line="240" w:lineRule="auto"/>
              <w:rPr>
                <w:color w:val="FF0000"/>
                <w:sz w:val="20"/>
                <w:szCs w:val="20"/>
              </w:rPr>
            </w:pPr>
            <w:r>
              <w:rPr>
                <w:color w:val="000000"/>
                <w:sz w:val="20"/>
                <w:szCs w:val="20"/>
              </w:rPr>
              <w:t>estimates are based on data collected directly from businesses</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010168" w:rsidRDefault="00010168" w14:paraId="21426064"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010168" w:rsidRDefault="00010168" w14:paraId="0A78ADC7" w14:textId="77777777">
            <w:pPr>
              <w:widowControl w:val="0"/>
              <w:pBdr>
                <w:top w:val="nil"/>
                <w:left w:val="nil"/>
                <w:bottom w:val="nil"/>
                <w:right w:val="nil"/>
                <w:between w:val="nil"/>
              </w:pBdr>
              <w:rPr>
                <w:rFonts w:ascii="Roboto" w:hAnsi="Roboto" w:eastAsia="Roboto" w:cs="Roboto"/>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52AF6FC7" w14:textId="77777777">
            <w:pPr>
              <w:widowControl w:val="0"/>
              <w:rPr>
                <w:rFonts w:ascii="Roboto" w:hAnsi="Roboto" w:eastAsia="Roboto" w:cs="Roboto"/>
                <w:sz w:val="20"/>
                <w:szCs w:val="20"/>
              </w:rPr>
            </w:pPr>
          </w:p>
        </w:tc>
      </w:tr>
      <w:tr w:rsidR="00010168" w:rsidTr="45CBF6C1" w14:paraId="4E285A6D" w14:textId="77777777">
        <w:trPr>
          <w:trHeight w:val="560"/>
        </w:trPr>
        <w:tc>
          <w:tcPr>
            <w:tcW w:w="258" w:type="dxa"/>
            <w:vMerge w:val="restart"/>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010168" w:rsidRDefault="00010168" w14:paraId="10E84BBC" w14:textId="77777777">
            <w:pPr>
              <w:widowControl w:val="0"/>
              <w:rPr>
                <w:rFonts w:ascii="Roboto" w:hAnsi="Roboto" w:eastAsia="Roboto" w:cs="Roboto"/>
                <w:sz w:val="20"/>
                <w:szCs w:val="20"/>
              </w:rPr>
            </w:pPr>
          </w:p>
        </w:tc>
        <w:tc>
          <w:tcPr>
            <w:tcW w:w="172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E06666"/>
            <w:tcMar>
              <w:top w:w="0" w:type="dxa"/>
              <w:left w:w="40" w:type="dxa"/>
              <w:bottom w:w="0" w:type="dxa"/>
              <w:right w:w="40" w:type="dxa"/>
            </w:tcMar>
            <w:vAlign w:val="center"/>
          </w:tcPr>
          <w:p w:rsidR="00010168" w:rsidRDefault="00662E93" w14:paraId="3AAE1B7A" w14:textId="77777777">
            <w:pPr>
              <w:widowControl w:val="0"/>
              <w:jc w:val="center"/>
              <w:rPr>
                <w:rFonts w:ascii="Roboto" w:hAnsi="Roboto" w:eastAsia="Roboto" w:cs="Roboto"/>
                <w:b/>
                <w:color w:val="FFFFFF"/>
                <w:sz w:val="20"/>
                <w:szCs w:val="20"/>
              </w:rPr>
            </w:pPr>
            <w:r>
              <w:rPr>
                <w:rFonts w:ascii="Roboto" w:hAnsi="Roboto" w:eastAsia="Roboto" w:cs="Roboto"/>
                <w:b/>
                <w:color w:val="FFFFFF"/>
                <w:sz w:val="20"/>
                <w:szCs w:val="20"/>
              </w:rPr>
              <w:t xml:space="preserve">Weaknesses - </w:t>
            </w:r>
          </w:p>
        </w:tc>
        <w:tc>
          <w:tcPr>
            <w:tcW w:w="4095" w:type="dxa"/>
            <w:gridSpan w:val="4"/>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tcPr>
          <w:p w:rsidR="00010168" w:rsidRDefault="00662E93" w14:paraId="4460E94B" w14:textId="77777777">
            <w:pPr>
              <w:widowControl w:val="0"/>
              <w:numPr>
                <w:ilvl w:val="0"/>
                <w:numId w:val="1"/>
              </w:numPr>
              <w:pBdr>
                <w:top w:val="nil"/>
                <w:left w:val="nil"/>
                <w:bottom w:val="nil"/>
                <w:right w:val="nil"/>
                <w:between w:val="nil"/>
              </w:pBdr>
              <w:spacing w:line="240" w:lineRule="auto"/>
              <w:rPr>
                <w:color w:val="FF0000"/>
                <w:sz w:val="20"/>
                <w:szCs w:val="20"/>
              </w:rPr>
            </w:pPr>
            <w:r>
              <w:rPr>
                <w:color w:val="000000"/>
                <w:sz w:val="20"/>
                <w:szCs w:val="20"/>
              </w:rPr>
              <w:t>Detailed geographic data are only available annually</w:t>
            </w:r>
            <w:r>
              <w:rPr>
                <w:color w:val="FF0000"/>
                <w:sz w:val="20"/>
                <w:szCs w:val="20"/>
              </w:rPr>
              <w:t xml:space="preserve"> </w:t>
            </w: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54E2B125" w14:textId="77777777">
            <w:pPr>
              <w:widowControl w:val="0"/>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010168" w:rsidRDefault="00010168" w14:paraId="17B2BC8C" w14:textId="77777777">
            <w:pPr>
              <w:widowControl w:val="0"/>
              <w:pBdr>
                <w:top w:val="nil"/>
                <w:left w:val="nil"/>
                <w:bottom w:val="nil"/>
                <w:right w:val="nil"/>
                <w:between w:val="nil"/>
              </w:pBdr>
              <w:rPr>
                <w:rFonts w:ascii="Roboto" w:hAnsi="Roboto" w:eastAsia="Roboto" w:cs="Roboto"/>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010168" w:rsidRDefault="00010168" w14:paraId="3EF8141C" w14:textId="77777777">
            <w:pPr>
              <w:widowControl w:val="0"/>
              <w:rPr>
                <w:rFonts w:ascii="Roboto" w:hAnsi="Roboto" w:eastAsia="Roboto" w:cs="Roboto"/>
                <w:sz w:val="20"/>
                <w:szCs w:val="20"/>
              </w:rPr>
            </w:pPr>
          </w:p>
        </w:tc>
      </w:tr>
      <w:tr w:rsidR="00010168" w:rsidTr="45CBF6C1" w14:paraId="71F28EF6" w14:textId="77777777">
        <w:trPr>
          <w:trHeight w:val="480"/>
        </w:trPr>
        <w:tc>
          <w:tcPr>
            <w:tcW w:w="258" w:type="dxa"/>
            <w:vMerge/>
            <w:tcBorders/>
            <w:tcMar>
              <w:top w:w="0" w:type="dxa"/>
              <w:left w:w="40" w:type="dxa"/>
              <w:bottom w:w="0" w:type="dxa"/>
              <w:right w:w="40" w:type="dxa"/>
            </w:tcMar>
            <w:vAlign w:val="bottom"/>
          </w:tcPr>
          <w:p w:rsidR="00010168" w:rsidRDefault="00010168" w14:paraId="7D21E2C8" w14:textId="77777777">
            <w:pPr>
              <w:widowControl w:val="0"/>
              <w:pBdr>
                <w:top w:val="nil"/>
                <w:left w:val="nil"/>
                <w:bottom w:val="nil"/>
                <w:right w:val="nil"/>
                <w:between w:val="nil"/>
              </w:pBdr>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010168" w:rsidRDefault="00010168" w14:paraId="18061509" w14:textId="77777777">
            <w:pPr>
              <w:widowControl w:val="0"/>
              <w:pBdr>
                <w:top w:val="nil"/>
                <w:left w:val="nil"/>
                <w:bottom w:val="nil"/>
                <w:right w:val="nil"/>
                <w:between w:val="nil"/>
              </w:pBdr>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010168" w:rsidRDefault="00010168" w14:paraId="3C61AFD8" w14:textId="77777777">
            <w:pPr>
              <w:widowControl w:val="0"/>
              <w:pBdr>
                <w:top w:val="nil"/>
                <w:left w:val="nil"/>
                <w:bottom w:val="nil"/>
                <w:right w:val="nil"/>
                <w:between w:val="nil"/>
              </w:pBdr>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010168" w:rsidRDefault="00010168" w14:paraId="0AA3C671" w14:textId="77777777">
            <w:pPr>
              <w:widowControl w:val="0"/>
              <w:pBdr>
                <w:top w:val="nil"/>
                <w:left w:val="nil"/>
                <w:bottom w:val="nil"/>
                <w:right w:val="nil"/>
                <w:between w:val="nil"/>
              </w:pBdr>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010168" w:rsidRDefault="00010168" w14:paraId="48008FC7" w14:textId="77777777">
            <w:pPr>
              <w:widowControl w:val="0"/>
              <w:pBdr>
                <w:top w:val="nil"/>
                <w:left w:val="nil"/>
                <w:bottom w:val="nil"/>
                <w:right w:val="nil"/>
                <w:between w:val="nil"/>
              </w:pBdr>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010168" w:rsidRDefault="00010168" w14:paraId="58989E02" w14:textId="77777777">
            <w:pPr>
              <w:widowControl w:val="0"/>
              <w:pBdr>
                <w:top w:val="nil"/>
                <w:left w:val="nil"/>
                <w:bottom w:val="nil"/>
                <w:right w:val="nil"/>
                <w:between w:val="nil"/>
              </w:pBdr>
              <w:rPr>
                <w:rFonts w:ascii="Roboto" w:hAnsi="Roboto" w:eastAsia="Roboto" w:cs="Roboto"/>
                <w:sz w:val="20"/>
                <w:szCs w:val="20"/>
              </w:rPr>
            </w:pPr>
          </w:p>
        </w:tc>
      </w:tr>
      <w:tr w:rsidR="00010168" w:rsidTr="45CBF6C1" w14:paraId="791486AC" w14:textId="77777777">
        <w:trPr>
          <w:trHeight w:val="264"/>
        </w:trPr>
        <w:tc>
          <w:tcPr>
            <w:tcW w:w="258" w:type="dxa"/>
            <w:vMerge/>
            <w:tcBorders/>
            <w:tcMar>
              <w:top w:w="0" w:type="dxa"/>
              <w:left w:w="40" w:type="dxa"/>
              <w:bottom w:w="0" w:type="dxa"/>
              <w:right w:w="40" w:type="dxa"/>
            </w:tcMar>
            <w:vAlign w:val="bottom"/>
          </w:tcPr>
          <w:p w:rsidR="00010168" w:rsidRDefault="00010168" w14:paraId="01636437" w14:textId="77777777">
            <w:pPr>
              <w:widowControl w:val="0"/>
              <w:pBdr>
                <w:top w:val="nil"/>
                <w:left w:val="nil"/>
                <w:bottom w:val="nil"/>
                <w:right w:val="nil"/>
                <w:between w:val="nil"/>
              </w:pBdr>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010168" w:rsidRDefault="00010168" w14:paraId="5D08345F" w14:textId="77777777">
            <w:pPr>
              <w:widowControl w:val="0"/>
              <w:pBdr>
                <w:top w:val="nil"/>
                <w:left w:val="nil"/>
                <w:bottom w:val="nil"/>
                <w:right w:val="nil"/>
                <w:between w:val="nil"/>
              </w:pBdr>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010168" w:rsidRDefault="00010168" w14:paraId="1ECE08AA" w14:textId="77777777">
            <w:pPr>
              <w:widowControl w:val="0"/>
              <w:pBdr>
                <w:top w:val="nil"/>
                <w:left w:val="nil"/>
                <w:bottom w:val="nil"/>
                <w:right w:val="nil"/>
                <w:between w:val="nil"/>
              </w:pBdr>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010168" w:rsidRDefault="00010168" w14:paraId="612F3321" w14:textId="77777777">
            <w:pPr>
              <w:widowControl w:val="0"/>
              <w:pBdr>
                <w:top w:val="nil"/>
                <w:left w:val="nil"/>
                <w:bottom w:val="nil"/>
                <w:right w:val="nil"/>
                <w:between w:val="nil"/>
              </w:pBdr>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010168" w:rsidRDefault="00010168" w14:paraId="6AC95CDE" w14:textId="77777777">
            <w:pPr>
              <w:widowControl w:val="0"/>
              <w:pBdr>
                <w:top w:val="nil"/>
                <w:left w:val="nil"/>
                <w:bottom w:val="nil"/>
                <w:right w:val="nil"/>
                <w:between w:val="nil"/>
              </w:pBdr>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010168" w:rsidRDefault="00010168" w14:paraId="49FC8F5C" w14:textId="77777777">
            <w:pPr>
              <w:widowControl w:val="0"/>
              <w:pBdr>
                <w:top w:val="nil"/>
                <w:left w:val="nil"/>
                <w:bottom w:val="nil"/>
                <w:right w:val="nil"/>
                <w:between w:val="nil"/>
              </w:pBdr>
              <w:rPr>
                <w:rFonts w:ascii="Roboto" w:hAnsi="Roboto" w:eastAsia="Roboto" w:cs="Roboto"/>
                <w:sz w:val="20"/>
                <w:szCs w:val="20"/>
              </w:rPr>
            </w:pPr>
          </w:p>
        </w:tc>
      </w:tr>
      <w:tr w:rsidR="00010168" w:rsidTr="45CBF6C1" w14:paraId="1A2D93EF" w14:textId="77777777">
        <w:trPr>
          <w:trHeight w:val="264"/>
        </w:trPr>
        <w:tc>
          <w:tcPr>
            <w:tcW w:w="258" w:type="dxa"/>
            <w:vMerge/>
            <w:tcBorders/>
            <w:tcMar>
              <w:top w:w="0" w:type="dxa"/>
              <w:left w:w="40" w:type="dxa"/>
              <w:bottom w:w="0" w:type="dxa"/>
              <w:right w:w="40" w:type="dxa"/>
            </w:tcMar>
            <w:vAlign w:val="bottom"/>
          </w:tcPr>
          <w:p w:rsidR="00010168" w:rsidRDefault="00010168" w14:paraId="237F74EA" w14:textId="77777777">
            <w:pPr>
              <w:widowControl w:val="0"/>
              <w:pBdr>
                <w:top w:val="nil"/>
                <w:left w:val="nil"/>
                <w:bottom w:val="nil"/>
                <w:right w:val="nil"/>
                <w:between w:val="nil"/>
              </w:pBdr>
              <w:rPr>
                <w:rFonts w:ascii="Roboto" w:hAnsi="Roboto" w:eastAsia="Roboto" w:cs="Roboto"/>
                <w:sz w:val="20"/>
                <w:szCs w:val="20"/>
              </w:rPr>
            </w:pPr>
          </w:p>
        </w:tc>
        <w:tc>
          <w:tcPr>
            <w:tcW w:w="1725" w:type="dxa"/>
            <w:vMerge/>
            <w:tcBorders/>
            <w:tcMar>
              <w:top w:w="0" w:type="dxa"/>
              <w:left w:w="40" w:type="dxa"/>
              <w:bottom w:w="0" w:type="dxa"/>
              <w:right w:w="40" w:type="dxa"/>
            </w:tcMar>
            <w:vAlign w:val="center"/>
          </w:tcPr>
          <w:p w:rsidR="00010168" w:rsidRDefault="00010168" w14:paraId="6BB4F55E" w14:textId="77777777">
            <w:pPr>
              <w:widowControl w:val="0"/>
              <w:pBdr>
                <w:top w:val="nil"/>
                <w:left w:val="nil"/>
                <w:bottom w:val="nil"/>
                <w:right w:val="nil"/>
                <w:between w:val="nil"/>
              </w:pBdr>
              <w:rPr>
                <w:rFonts w:ascii="Roboto" w:hAnsi="Roboto" w:eastAsia="Roboto" w:cs="Roboto"/>
                <w:sz w:val="20"/>
                <w:szCs w:val="20"/>
              </w:rPr>
            </w:pPr>
          </w:p>
        </w:tc>
        <w:tc>
          <w:tcPr>
            <w:tcW w:w="4095" w:type="dxa"/>
            <w:gridSpan w:val="4"/>
            <w:vMerge/>
            <w:tcBorders/>
            <w:tcMar>
              <w:top w:w="100" w:type="dxa"/>
              <w:left w:w="100" w:type="dxa"/>
              <w:bottom w:w="100" w:type="dxa"/>
              <w:right w:w="100" w:type="dxa"/>
            </w:tcMar>
          </w:tcPr>
          <w:p w:rsidR="00010168" w:rsidRDefault="00010168" w14:paraId="1836187A" w14:textId="77777777">
            <w:pPr>
              <w:widowControl w:val="0"/>
              <w:pBdr>
                <w:top w:val="nil"/>
                <w:left w:val="nil"/>
                <w:bottom w:val="nil"/>
                <w:right w:val="nil"/>
                <w:between w:val="nil"/>
              </w:pBdr>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010168" w:rsidRDefault="00010168" w14:paraId="6E55C793" w14:textId="77777777">
            <w:pPr>
              <w:widowControl w:val="0"/>
              <w:pBdr>
                <w:top w:val="nil"/>
                <w:left w:val="nil"/>
                <w:bottom w:val="nil"/>
                <w:right w:val="nil"/>
                <w:between w:val="nil"/>
              </w:pBdr>
              <w:rPr>
                <w:rFonts w:ascii="Roboto" w:hAnsi="Roboto" w:eastAsia="Roboto" w:cs="Roboto"/>
                <w:sz w:val="20"/>
                <w:szCs w:val="20"/>
              </w:rPr>
            </w:pPr>
          </w:p>
        </w:tc>
        <w:tc>
          <w:tcPr>
            <w:tcW w:w="4515" w:type="dxa"/>
            <w:gridSpan w:val="2"/>
            <w:vMerge/>
            <w:tcBorders/>
            <w:tcMar>
              <w:top w:w="0" w:type="dxa"/>
              <w:left w:w="40" w:type="dxa"/>
              <w:bottom w:w="0" w:type="dxa"/>
              <w:right w:w="40" w:type="dxa"/>
            </w:tcMar>
            <w:vAlign w:val="center"/>
          </w:tcPr>
          <w:p w:rsidR="00010168" w:rsidRDefault="00010168" w14:paraId="6BD648A3" w14:textId="77777777">
            <w:pPr>
              <w:widowControl w:val="0"/>
              <w:pBdr>
                <w:top w:val="nil"/>
                <w:left w:val="nil"/>
                <w:bottom w:val="nil"/>
                <w:right w:val="nil"/>
                <w:between w:val="nil"/>
              </w:pBdr>
              <w:rPr>
                <w:rFonts w:ascii="Roboto" w:hAnsi="Roboto" w:eastAsia="Roboto" w:cs="Roboto"/>
                <w:sz w:val="20"/>
                <w:szCs w:val="20"/>
              </w:rPr>
            </w:pPr>
          </w:p>
        </w:tc>
        <w:tc>
          <w:tcPr>
            <w:tcW w:w="240" w:type="dxa"/>
            <w:vMerge/>
            <w:tcBorders/>
            <w:tcMar>
              <w:top w:w="0" w:type="dxa"/>
              <w:left w:w="40" w:type="dxa"/>
              <w:bottom w:w="0" w:type="dxa"/>
              <w:right w:w="40" w:type="dxa"/>
            </w:tcMar>
            <w:vAlign w:val="center"/>
          </w:tcPr>
          <w:p w:rsidR="00010168" w:rsidRDefault="00010168" w14:paraId="16AD8755" w14:textId="77777777">
            <w:pPr>
              <w:widowControl w:val="0"/>
              <w:pBdr>
                <w:top w:val="nil"/>
                <w:left w:val="nil"/>
                <w:bottom w:val="nil"/>
                <w:right w:val="nil"/>
                <w:between w:val="nil"/>
              </w:pBdr>
              <w:rPr>
                <w:rFonts w:ascii="Roboto" w:hAnsi="Roboto" w:eastAsia="Roboto" w:cs="Roboto"/>
                <w:sz w:val="20"/>
                <w:szCs w:val="20"/>
              </w:rPr>
            </w:pPr>
          </w:p>
        </w:tc>
      </w:tr>
      <w:tr w:rsidR="00010168" w:rsidTr="45CBF6C1" w14:paraId="6B0B9205"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6190F94F" w14:textId="77777777">
            <w:pPr>
              <w:widowControl w:val="0"/>
              <w:jc w:val="center"/>
              <w:rPr>
                <w:rFonts w:ascii="Roboto" w:hAnsi="Roboto" w:eastAsia="Roboto" w:cs="Roboto"/>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11B94277" w14:textId="77777777">
            <w:pPr>
              <w:widowControl w:val="0"/>
              <w:jc w:val="center"/>
              <w:rPr>
                <w:rFonts w:ascii="Roboto" w:hAnsi="Roboto" w:eastAsia="Roboto" w:cs="Roboto"/>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010168" w:rsidRDefault="00010168" w14:paraId="0B377EE3" w14:textId="77777777">
            <w:pPr>
              <w:widowControl w:val="0"/>
              <w:rPr>
                <w:rFonts w:ascii="Roboto" w:hAnsi="Roboto" w:eastAsia="Roboto" w:cs="Roboto"/>
                <w:sz w:val="20"/>
                <w:szCs w:val="20"/>
              </w:rPr>
            </w:pPr>
          </w:p>
        </w:tc>
      </w:tr>
    </w:tbl>
    <w:p w:rsidR="00010168" w:rsidRDefault="00010168" w14:paraId="35EDB590" w14:textId="77777777">
      <w:pPr>
        <w:rPr>
          <w:rFonts w:ascii="Roboto" w:hAnsi="Roboto" w:eastAsia="Roboto" w:cs="Roboto"/>
        </w:rPr>
      </w:pPr>
    </w:p>
    <w:sectPr w:rsidR="00010168">
      <w:headerReference w:type="even" r:id="rId16"/>
      <w:headerReference w:type="default" r:id="rId17"/>
      <w:footerReference w:type="even" r:id="rId18"/>
      <w:footerReference w:type="default" r:id="rId19"/>
      <w:headerReference w:type="first" r:id="rId20"/>
      <w:footerReference w:type="first" r:id="rId21"/>
      <w:pgSz w:w="12240" w:h="15840" w:orient="portrait"/>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E93" w:rsidRDefault="00662E93" w14:paraId="597FC8DC" w14:textId="77777777">
      <w:pPr>
        <w:spacing w:line="240" w:lineRule="auto"/>
      </w:pPr>
      <w:r>
        <w:separator/>
      </w:r>
    </w:p>
  </w:endnote>
  <w:endnote w:type="continuationSeparator" w:id="0">
    <w:p w:rsidR="00662E93" w:rsidRDefault="00662E93" w14:paraId="1E07460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168" w:rsidRDefault="00C20168" w14:paraId="73B599B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168" w:rsidRDefault="00C20168" w14:paraId="79C4936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168" w:rsidRDefault="00C20168" w14:paraId="669745C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E93" w:rsidRDefault="00662E93" w14:paraId="6BE1F28E" w14:textId="77777777">
      <w:pPr>
        <w:spacing w:line="240" w:lineRule="auto"/>
      </w:pPr>
      <w:r>
        <w:separator/>
      </w:r>
    </w:p>
  </w:footnote>
  <w:footnote w:type="continuationSeparator" w:id="0">
    <w:p w:rsidR="00662E93" w:rsidRDefault="00662E93" w14:paraId="1BB62CB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168" w:rsidRDefault="00C20168" w14:paraId="667FBC1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0168" w:rsidRDefault="00010168" w14:paraId="39DFB1E2" w14:textId="4C3BCCE8">
    <w:pPr>
      <w:jc w:val="center"/>
      <w:rPr>
        <w:b/>
      </w:rPr>
    </w:pPr>
    <w:bookmarkStart w:name="_GoBack" w:id="2"/>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168" w:rsidRDefault="00C20168" w14:paraId="259DCDA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D5985"/>
    <w:multiLevelType w:val="multilevel"/>
    <w:tmpl w:val="0A1AE8C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15:restartNumberingAfterBreak="0">
    <w:nsid w:val="312D59F8"/>
    <w:multiLevelType w:val="multilevel"/>
    <w:tmpl w:val="9E1E729A"/>
    <w:lvl w:ilvl="0">
      <w:start w:val="1"/>
      <w:numFmt w:val="bullet"/>
      <w:lvlText w:val="-"/>
      <w:lvlJc w:val="left"/>
      <w:pPr>
        <w:ind w:left="360" w:hanging="360"/>
      </w:pPr>
      <w:rPr>
        <w:rFonts w:ascii="Arial" w:hAnsi="Arial" w:eastAsia="Arial" w:cs="Arial"/>
        <w:b w:val="0"/>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 w15:restartNumberingAfterBreak="0">
    <w:nsid w:val="64724272"/>
    <w:multiLevelType w:val="multilevel"/>
    <w:tmpl w:val="B2E6D4CA"/>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3" w15:restartNumberingAfterBreak="0">
    <w:nsid w:val="7F1359F1"/>
    <w:multiLevelType w:val="multilevel"/>
    <w:tmpl w:val="6128B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168"/>
    <w:rsid w:val="00010168"/>
    <w:rsid w:val="00662E93"/>
    <w:rsid w:val="00C20168"/>
    <w:rsid w:val="45CBF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ACF62B"/>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0168"/>
    <w:pPr>
      <w:tabs>
        <w:tab w:val="center" w:pos="4680"/>
        <w:tab w:val="right" w:pos="9360"/>
      </w:tabs>
      <w:spacing w:line="240" w:lineRule="auto"/>
    </w:pPr>
  </w:style>
  <w:style w:type="character" w:styleId="HeaderChar" w:customStyle="1">
    <w:name w:val="Header Char"/>
    <w:basedOn w:val="DefaultParagraphFont"/>
    <w:link w:val="Header"/>
    <w:uiPriority w:val="99"/>
    <w:rsid w:val="00C20168"/>
  </w:style>
  <w:style w:type="paragraph" w:styleId="Footer">
    <w:name w:val="footer"/>
    <w:basedOn w:val="Normal"/>
    <w:link w:val="FooterChar"/>
    <w:uiPriority w:val="99"/>
    <w:unhideWhenUsed/>
    <w:rsid w:val="00C20168"/>
    <w:pPr>
      <w:tabs>
        <w:tab w:val="center" w:pos="4680"/>
        <w:tab w:val="right" w:pos="9360"/>
      </w:tabs>
      <w:spacing w:line="240" w:lineRule="auto"/>
    </w:pPr>
  </w:style>
  <w:style w:type="character" w:styleId="FooterChar" w:customStyle="1">
    <w:name w:val="Footer Char"/>
    <w:basedOn w:val="DefaultParagraphFont"/>
    <w:link w:val="Footer"/>
    <w:uiPriority w:val="99"/>
    <w:rsid w:val="00C20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hyperlink" Target="https://www.ons.gov.uk/businessindustryandtrade/internationaltrade" TargetMode="External" Id="rId13" /><Relationship Type="http://schemas.openxmlformats.org/officeDocument/2006/relationships/footer" Target="footer1.xml"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footer" Target="footer3.xml" Id="rId21" /><Relationship Type="http://schemas.openxmlformats.org/officeDocument/2006/relationships/image" Target="media/image1.png" Id="rId7" /><Relationship Type="http://schemas.openxmlformats.org/officeDocument/2006/relationships/hyperlink" Target="https://www.ons.gov.uk/economy/nationalaccounts/balanceofpayments/datasets/balanceofpaymentsstatisticalbulletintables" TargetMode="External" Id="rId12" /><Relationship Type="http://schemas.openxmlformats.org/officeDocument/2006/relationships/header" Target="header2.xml"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bop@ons.gov.uk" TargetMode="External"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hyperlink" Target="https://www.ons.gov.uk/economy/nationalaccounts/balanceofpayments/bulletins/foreigndirectinvestmentinvolvingukcompanies/previousReleases" TargetMode="External" Id="rId15" /><Relationship Type="http://schemas.openxmlformats.org/officeDocument/2006/relationships/theme" Target="theme/theme1.xml" Id="rId23" /><Relationship Type="http://schemas.openxmlformats.org/officeDocument/2006/relationships/hyperlink" Target="https://www.ons.gov.uk/economy/nationalaccounts/balanceofpayments/methodologies/balanceofpaymentsqmi" TargetMode="External" Id="rId10" /><Relationship Type="http://schemas.openxmlformats.org/officeDocument/2006/relationships/footer" Target="footer2.xml" Id="rId19" /><Relationship Type="http://schemas.openxmlformats.org/officeDocument/2006/relationships/webSettings" Target="webSettings.xml" Id="rId4" /><Relationship Type="http://schemas.openxmlformats.org/officeDocument/2006/relationships/hyperlink" Target="https://www.ons.gov.uk/economy/nationalaccounts/balanceofpayments/bulletins/unitedkingdombalanceofpaymentsthepinkbook/2019" TargetMode="External" Id="rId9" /><Relationship Type="http://schemas.openxmlformats.org/officeDocument/2006/relationships/hyperlink" Target="https://www.ons.gov.uk/economy/nationalaccounts/uksectoraccounts" TargetMode="External" Id="rId14" /><Relationship Type="http://schemas.openxmlformats.org/officeDocument/2006/relationships/fontTable" Target="fontTable.xml" Id="rId22" /><Relationship Type="http://schemas.openxmlformats.org/officeDocument/2006/relationships/customXml" Target="../customXml/item4.xml" Id="rId27" /><Relationship Type="http://schemas.openxmlformats.org/officeDocument/2006/relationships/hyperlink" Target="https://www.ons.gov.uk/economy/nationalaccounts/balanceofpayments/bulletins/unitedkingdombalanceofpaymentsthepinkbook/previousReleases" TargetMode="External" Id="Re1c5c44ed72b44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H6263HTYEWN5-2094533450-363482</_dlc_DocId>
    <Security_x0020_Classification xmlns="7fd9e60a-720a-478c-bf76-b460d35d354e">OFFICIAL</Security_x0020_Classification>
    <_dlc_DocIdUrl xmlns="7fd9e60a-720a-478c-bf76-b460d35d354e">
      <Url>https://dbis.sharepoint.com/sites/dit/103/_layouts/15/DocIdRedir.aspx?ID=H6263HTYEWN5-2094533450-363482</Url>
      <Description>H6263HTYEWN5-2094533450-363482</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2020-01-20T11:14:59+00:00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721813B6-EEC5-41FD-B7AC-CEEB6BC81432}"/>
</file>

<file path=customXml/itemProps2.xml><?xml version="1.0" encoding="utf-8"?>
<ds:datastoreItem xmlns:ds="http://schemas.openxmlformats.org/officeDocument/2006/customXml" ds:itemID="{AB9B42F3-EC10-4B02-B313-566C99256211}"/>
</file>

<file path=customXml/itemProps3.xml><?xml version="1.0" encoding="utf-8"?>
<ds:datastoreItem xmlns:ds="http://schemas.openxmlformats.org/officeDocument/2006/customXml" ds:itemID="{4B0252D6-DC48-43B9-BA88-7090A00B26A2}"/>
</file>

<file path=customXml/itemProps4.xml><?xml version="1.0" encoding="utf-8"?>
<ds:datastoreItem xmlns:ds="http://schemas.openxmlformats.org/officeDocument/2006/customXml" ds:itemID="{9DF19E06-8804-497C-B4B9-4A92D6C8A0E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Turner, Robert (Trade)</cp:lastModifiedBy>
  <cp:revision>3</cp:revision>
  <dcterms:created xsi:type="dcterms:W3CDTF">2020-01-17T15:26:00Z</dcterms:created>
  <dcterms:modified xsi:type="dcterms:W3CDTF">2020-02-25T13:19:11Z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d8d50749-2437-4a63-8130-daffc301fa29</vt:lpwstr>
  </property>
</Properties>
</file>