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5"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3"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2"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2"/>
          <w:p/>
        </w:tc>
      </w:tr>
    </w:tbl>
    <w:bookmarkEnd w:id="63"/>
    <w:bookmarkStart w:id="64"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4"/>
    <w:bookmarkEnd w:id="65"/>
    <w:bookmarkStart w:id="66"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6"/>
    <w:bookmarkStart w:id="67"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7"/>
    <w:bookmarkStart w:id="68"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8"/>
    <w:bookmarkStart w:id="69"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69"/>
    <w:bookmarkStart w:id="78" w:name="sec-references"/>
    <w:p>
      <w:pPr>
        <w:pStyle w:val="Heading1"/>
      </w:pPr>
      <w:r>
        <w:t xml:space="preserve">12. References</w:t>
      </w:r>
    </w:p>
    <w:tbl>
      <w:tblPr>
        <w:tblStyle w:val="Table"/>
        <w:tblW w:type="pct" w:w="5000"/>
        <w:tblLayout w:type="fixed"/>
        <w:tblLook w:firstRow="0" w:lastRow="0" w:firstColumn="0" w:lastColumn="0" w:noHBand="0" w:noVBand="0" w:val="0000"/>
      </w:tblPr>
      <w:tblGrid>
        <w:gridCol w:w="7920"/>
      </w:tblGrid>
      <w:tr>
        <w:tc>
          <w:tcPr/>
          <w:bookmarkStart w:id="77" w:name="tbl-refs"/>
          <w:p>
            <w:pPr>
              <w:jc w:val="center"/>
            </w:pPr>
            <w:pPr>
              <w:jc w:val="start"/>
              <w:spacing w:before="200"/>
              <w:pStyle w:val="ImageCaption"/>
            </w:pPr>
            <w:r>
              <w:t xml:space="preserve">Table 4: References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jc w:val="center"/>
                  </w:pPr>
                  <w:r>
                    <w:rPr>
                      <w:b/>
                      <w:bCs/>
                    </w:rPr>
                    <w:t xml:space="preserve">Reference Title</w:t>
                  </w:r>
                </w:p>
              </w:tc>
              <w:tc>
                <w:tcPr/>
                <w:p>
                  <w:pPr>
                    <w:pStyle w:val="Compact"/>
                    <w:jc w:val="left"/>
                    <w:jc w:val="center"/>
                  </w:pPr>
                  <w:r>
                    <w:rPr>
                      <w:b/>
                      <w:bCs/>
                    </w:rPr>
                    <w:t xml:space="preserve">Description</w:t>
                  </w:r>
                </w:p>
              </w:tc>
            </w:tr>
            <w:tr>
              <w:tc>
                <w:tcPr/>
                <w:p>
                  <w:pPr>
                    <w:pStyle w:val="Compact"/>
                    <w:jc w:val="left"/>
                    <w:jc w:val="center"/>
                  </w:pPr>
                  <w:hyperlink r:id="rId70">
                    <w:r>
                      <w:rPr>
                        <w:rStyle w:val="Hyperlink"/>
                      </w:rPr>
                      <w:t xml:space="preserve">Guideline on computerised</w:t>
                    </w:r>
                    <w:r>
                      <w:rPr>
                        <w:rStyle w:val="Hyperlink"/>
                      </w:rPr>
                      <w:t xml:space="preserve"> </w:t>
                    </w:r>
                    <w:r>
                      <w:rPr>
                        <w:rStyle w:val="Hyperlink"/>
                      </w:rPr>
                      <w:t xml:space="preserve">systems and electronic data in</w:t>
                    </w:r>
                    <w:r>
                      <w:rPr>
                        <w:rStyle w:val="Hyperlink"/>
                      </w:rPr>
                      <w:t xml:space="preserve"> </w:t>
                    </w:r>
                    <w:r>
                      <w:rPr>
                        <w:rStyle w:val="Hyperlink"/>
                      </w:rPr>
                      <w:t xml:space="preserve">clinical trials</w:t>
                    </w:r>
                  </w:hyperlink>
                </w:p>
              </w:tc>
              <w:tc>
                <w:tcPr/>
                <w:p>
                  <w:pPr>
                    <w:pStyle w:val="Compact"/>
                    <w:jc w:val="left"/>
                    <w:jc w:val="center"/>
                  </w:pPr>
                  <w:r>
                    <w:t xml:space="preserve">European Medicines Agency:</w:t>
                  </w:r>
                  <w:r>
                    <w:t xml:space="preserve"> </w:t>
                  </w:r>
                  <w:r>
                    <w:t xml:space="preserve">Guideline on computerised systems</w:t>
                  </w:r>
                  <w:r>
                    <w:t xml:space="preserve"> </w:t>
                  </w:r>
                  <w:r>
                    <w:t xml:space="preserve">and electronic data in clinical</w:t>
                  </w:r>
                  <w:r>
                    <w:t xml:space="preserve"> </w:t>
                  </w:r>
                  <w:r>
                    <w:t xml:space="preserve">trials (2023)</w:t>
                  </w:r>
                </w:p>
              </w:tc>
            </w:tr>
            <w:tr>
              <w:tc>
                <w:tcPr/>
                <w:p>
                  <w:pPr>
                    <w:pStyle w:val="Compact"/>
                    <w:jc w:val="left"/>
                    <w:jc w:val="center"/>
                  </w:pPr>
                  <w:hyperlink r:id="rId71">
                    <w:r>
                      <w:rPr>
                        <w:rStyle w:val="Hyperlink"/>
                      </w:rPr>
                      <w:t xml:space="preserve">ICH E6: Guideline for Good</w:t>
                    </w:r>
                    <w:r>
                      <w:rPr>
                        <w:rStyle w:val="Hyperlink"/>
                      </w:rPr>
                      <w:t xml:space="preserve"> </w:t>
                    </w:r>
                    <w:r>
                      <w:rPr>
                        <w:rStyle w:val="Hyperlink"/>
                      </w:rPr>
                      <w:t xml:space="preserve">Clinical</w:t>
                    </w:r>
                    <w:r>
                      <w:rPr>
                        <w:rStyle w:val="Hyperlink"/>
                      </w:rPr>
                      <w:t xml:space="preserve"> </w:t>
                    </w:r>
                    <w:r>
                      <w:rPr>
                        <w:rStyle w:val="Hyperlink"/>
                      </w:rPr>
                      <w:t xml:space="preserve">Practice</w:t>
                    </w:r>
                  </w:hyperlink>
                </w:p>
              </w:tc>
              <w:tc>
                <w:tcPr/>
                <w:p>
                  <w:pPr>
                    <w:pStyle w:val="Compact"/>
                    <w:jc w:val="left"/>
                    <w:jc w:val="center"/>
                  </w:pPr>
                  <w:r>
                    <w:t xml:space="preserve">International Council for</w:t>
                  </w:r>
                  <w:r>
                    <w:t xml:space="preserve"> </w:t>
                  </w:r>
                  <w:r>
                    <w:t xml:space="preserve">Harmonisation, E6 Good Clinical</w:t>
                  </w:r>
                  <w:r>
                    <w:t xml:space="preserve"> </w:t>
                  </w:r>
                  <w:r>
                    <w:t xml:space="preserve">Practice (1997) and Integrated</w:t>
                  </w:r>
                  <w:r>
                    <w:t xml:space="preserve"> </w:t>
                  </w:r>
                  <w:r>
                    <w:t xml:space="preserve">Addendum to Good Clinical</w:t>
                  </w:r>
                  <w:r>
                    <w:t xml:space="preserve"> </w:t>
                  </w:r>
                  <w:r>
                    <w:t xml:space="preserve">Practice (GCP) (2016)</w:t>
                  </w:r>
                </w:p>
              </w:tc>
            </w:tr>
            <w:tr>
              <w:tc>
                <w:tcPr/>
                <w:p>
                  <w:pPr>
                    <w:pStyle w:val="Compact"/>
                    <w:jc w:val="left"/>
                    <w:jc w:val="center"/>
                  </w:pPr>
                  <w:hyperlink r:id="rId72">
                    <w:r>
                      <w:rPr>
                        <w:rStyle w:val="Hyperlink"/>
                      </w:rPr>
                      <w:t xml:space="preserve">The Good Automated Manufacturing</w:t>
                    </w:r>
                    <w:r>
                      <w:rPr>
                        <w:rStyle w:val="Hyperlink"/>
                      </w:rPr>
                      <w:t xml:space="preserve"> </w:t>
                    </w:r>
                    <w:r>
                      <w:rPr>
                        <w:rStyle w:val="Hyperlink"/>
                      </w:rPr>
                      <w:t xml:space="preserve">Practice (GAMP) Guide 5: A Risk</w:t>
                    </w:r>
                    <w:r>
                      <w:rPr>
                        <w:rStyle w:val="Hyperlink"/>
                      </w:rPr>
                      <w:t xml:space="preserve"> </w:t>
                    </w:r>
                    <w:r>
                      <w:rPr>
                        <w:rStyle w:val="Hyperlink"/>
                      </w:rPr>
                      <w:t xml:space="preserve">Based Approach to Compliant GxP</w:t>
                    </w:r>
                    <w:r>
                      <w:rPr>
                        <w:rStyle w:val="Hyperlink"/>
                      </w:rPr>
                      <w:t xml:space="preserve"> </w:t>
                    </w:r>
                    <w:r>
                      <w:rPr>
                        <w:rStyle w:val="Hyperlink"/>
                      </w:rPr>
                      <w:t xml:space="preserve">Computerized Systems (ISPE/GAMP,</w:t>
                    </w:r>
                    <w:r>
                      <w:rPr>
                        <w:rStyle w:val="Hyperlink"/>
                      </w:rPr>
                      <w:t xml:space="preserve"> </w:t>
                    </w:r>
                    <w:r>
                      <w:rPr>
                        <w:rStyle w:val="Hyperlink"/>
                      </w:rPr>
                      <w:t xml:space="preserve">2</w:t>
                    </w:r>
                    <w:r>
                      <w:rPr>
                        <w:rStyle w:val="Hyperlink"/>
                      </w:rPr>
                      <w:t xml:space="preserve"> </w:t>
                    </w:r>
                    <w:r>
                      <w:rPr>
                        <w:rStyle w:val="Hyperlink"/>
                      </w:rPr>
                      <w:t xml:space="preserve">008)</w:t>
                    </w:r>
                  </w:hyperlink>
                </w:p>
              </w:tc>
              <w:tc>
                <w:tcPr/>
                <w:p>
                  <w:pPr>
                    <w:jc w:val="left"/>
                    <w:jc w:val="center"/>
                  </w:pPr>
                  <w:r>
                    <w:t xml:space="preserve">Guideline for computerised</w:t>
                  </w:r>
                  <w:r>
                    <w:t xml:space="preserve"> </w:t>
                  </w:r>
                  <w:r>
                    <w:t xml:space="preserve">systems validation in regulated</w:t>
                  </w:r>
                  <w:r>
                    <w:t xml:space="preserve"> </w:t>
                  </w:r>
                  <w:r>
                    <w:t xml:space="preserve">environments issued by the</w:t>
                  </w:r>
                  <w:r>
                    <w:t xml:space="preserve"> </w:t>
                  </w:r>
                  <w:r>
                    <w:t xml:space="preserve">International Society for</w:t>
                  </w:r>
                  <w:r>
                    <w:t xml:space="preserve"> </w:t>
                  </w:r>
                  <w:r>
                    <w:t xml:space="preserve">Pharmaceutical Engineering</w:t>
                  </w:r>
                  <w:r>
                    <w:t xml:space="preserve"> </w:t>
                  </w:r>
                  <w:r>
                    <w:t xml:space="preserve">(ISPE).</w:t>
                  </w:r>
                </w:p>
                <w:p>
                  <w:pPr>
                    <w:jc w:val="left"/>
                    <w:jc w:val="center"/>
                  </w:pPr>
                  <w:r>
                    <w:t xml:space="preserve">Note that the content of GAMP 5</w:t>
                  </w:r>
                  <w:r>
                    <w:t xml:space="preserve"> </w:t>
                  </w:r>
                  <w:r>
                    <w:t xml:space="preserve">is not available online.</w:t>
                  </w:r>
                </w:p>
              </w:tc>
            </w:tr>
            <w:tr>
              <w:tc>
                <w:tcPr/>
                <w:p>
                  <w:pPr>
                    <w:pStyle w:val="Compact"/>
                    <w:jc w:val="left"/>
                    <w:jc w:val="center"/>
                  </w:pPr>
                  <w:hyperlink r:id="rId73">
                    <w:r>
                      <w:rPr>
                        <w:rStyle w:val="Hyperlink"/>
                      </w:rPr>
                      <w:t xml:space="preserve">FDA 21 CFR part 11: Electronic</w:t>
                    </w:r>
                    <w:r>
                      <w:rPr>
                        <w:rStyle w:val="Hyperlink"/>
                      </w:rPr>
                      <w:t xml:space="preserve"> </w:t>
                    </w:r>
                    <w:r>
                      <w:rPr>
                        <w:rStyle w:val="Hyperlink"/>
                      </w:rPr>
                      <w:t xml:space="preserve">Records; Electronic</w:t>
                    </w:r>
                    <w:r>
                      <w:rPr>
                        <w:rStyle w:val="Hyperlink"/>
                      </w:rPr>
                      <w:t xml:space="preserve"> </w:t>
                    </w:r>
                    <w:r>
                      <w:rPr>
                        <w:rStyle w:val="Hyperlink"/>
                      </w:rPr>
                      <w:t xml:space="preserve">Signatu</w:t>
                    </w:r>
                    <w:r>
                      <w:rPr>
                        <w:rStyle w:val="Hyperlink"/>
                      </w:rPr>
                      <w:t xml:space="preserve"> </w:t>
                    </w:r>
                    <w:r>
                      <w:rPr>
                        <w:rStyle w:val="Hyperlink"/>
                      </w:rPr>
                      <w:t xml:space="preserve">res</w:t>
                    </w:r>
                  </w:hyperlink>
                </w:p>
              </w:tc>
              <w:tc>
                <w:tcPr/>
                <w:p>
                  <w:pPr>
                    <w:pStyle w:val="Compact"/>
                    <w:jc w:val="left"/>
                    <w:jc w:val="center"/>
                  </w:pPr>
                  <w:r>
                    <w:t xml:space="preserve">FDA regulation: Title 21—Food</w:t>
                  </w:r>
                  <w:r>
                    <w:t xml:space="preserve"> </w:t>
                  </w:r>
                  <w:r>
                    <w:t xml:space="preserve">and Drugs, Chapter I - Food and</w:t>
                  </w:r>
                  <w:r>
                    <w:t xml:space="preserve"> </w:t>
                  </w:r>
                  <w:r>
                    <w:t xml:space="preserve">Drug Administration, Department</w:t>
                  </w:r>
                  <w:r>
                    <w:t xml:space="preserve"> </w:t>
                  </w:r>
                  <w:r>
                    <w:t xml:space="preserve">of Health and Human Services,</w:t>
                  </w:r>
                  <w:r>
                    <w:t xml:space="preserve"> </w:t>
                  </w:r>
                  <w:r>
                    <w:t xml:space="preserve">Subchapter A - General, Part 11</w:t>
                  </w:r>
                  <w:r>
                    <w:t xml:space="preserve"> </w:t>
                  </w:r>
                  <w:r>
                    <w:t xml:space="preserve">— Electronic Records;</w:t>
                  </w:r>
                  <w:r>
                    <w:t xml:space="preserve"> </w:t>
                  </w:r>
                  <w:r>
                    <w:t xml:space="preserve">Electronic Signatures</w:t>
                  </w:r>
                </w:p>
              </w:tc>
            </w:tr>
            <w:tr>
              <w:tc>
                <w:tcPr/>
                <w:p>
                  <w:pPr>
                    <w:pStyle w:val="Compact"/>
                    <w:jc w:val="left"/>
                    <w:jc w:val="center"/>
                  </w:pPr>
                  <w:hyperlink r:id="rId74">
                    <w:r>
                      <w:rPr>
                        <w:rStyle w:val="Hyperlink"/>
                      </w:rPr>
                      <w:t xml:space="preserve">General Principles of Software</w:t>
                    </w:r>
                    <w:r>
                      <w:rPr>
                        <w:rStyle w:val="Hyperlink"/>
                      </w:rPr>
                      <w:t xml:space="preserve"> </w:t>
                    </w:r>
                    <w:r>
                      <w:rPr>
                        <w:rStyle w:val="Hyperlink"/>
                      </w:rPr>
                      <w:t xml:space="preserve">Validation; Final Guidance for</w:t>
                    </w:r>
                    <w:r>
                      <w:rPr>
                        <w:rStyle w:val="Hyperlink"/>
                      </w:rPr>
                      <w:t xml:space="preserve"> </w:t>
                    </w:r>
                    <w:r>
                      <w:rPr>
                        <w:rStyle w:val="Hyperlink"/>
                      </w:rPr>
                      <w:t xml:space="preserve">Industry and FDA Staff</w:t>
                    </w:r>
                    <w:r>
                      <w:rPr>
                        <w:rStyle w:val="Hyperlink"/>
                      </w:rPr>
                      <w:t xml:space="preserve"> </w:t>
                    </w:r>
                    <w:r>
                      <w:rPr>
                        <w:rStyle w:val="Hyperlink"/>
                      </w:rPr>
                      <w:t xml:space="preserve">(2002)</w:t>
                    </w:r>
                  </w:hyperlink>
                </w:p>
              </w:tc>
              <w:tc>
                <w:tcPr/>
                <w:p>
                  <w:pPr>
                    <w:pStyle w:val="Compact"/>
                    <w:jc w:val="left"/>
                    <w:jc w:val="center"/>
                  </w:pPr>
                  <w:r>
                    <w:t xml:space="preserve">FDA guidance paper for</w:t>
                  </w:r>
                  <w:r>
                    <w:t xml:space="preserve"> </w:t>
                  </w:r>
                  <w:r>
                    <w:t xml:space="preserve">computerised system validation.</w:t>
                  </w:r>
                </w:p>
              </w:tc>
            </w:tr>
            <w:tr>
              <w:tc>
                <w:tcPr/>
                <w:p>
                  <w:pPr>
                    <w:pStyle w:val="Compact"/>
                    <w:jc w:val="left"/>
                    <w:jc w:val="center"/>
                  </w:pPr>
                  <w:hyperlink r:id="rId75">
                    <w:r>
                      <w:rPr>
                        <w:rStyle w:val="Hyperlink"/>
                      </w:rPr>
                      <w:t xml:space="preserve">EudraLex Volume 4: Good</w:t>
                    </w:r>
                    <w:r>
                      <w:rPr>
                        <w:rStyle w:val="Hyperlink"/>
                      </w:rPr>
                      <w:t xml:space="preserve"> </w:t>
                    </w:r>
                    <w:r>
                      <w:rPr>
                        <w:rStyle w:val="Hyperlink"/>
                      </w:rPr>
                      <w:t xml:space="preserve">Manufacturing Practice (GMP)</w:t>
                    </w:r>
                    <w:r>
                      <w:rPr>
                        <w:rStyle w:val="Hyperlink"/>
                      </w:rPr>
                      <w:t xml:space="preserve"> </w:t>
                    </w:r>
                    <w:r>
                      <w:rPr>
                        <w:rStyle w:val="Hyperlink"/>
                      </w:rPr>
                      <w:t xml:space="preserve">guidelines, Annex 11:</w:t>
                    </w:r>
                    <w:r>
                      <w:rPr>
                        <w:rStyle w:val="Hyperlink"/>
                      </w:rPr>
                      <w:t xml:space="preserve"> </w:t>
                    </w:r>
                    <w:r>
                      <w:rPr>
                        <w:rStyle w:val="Hyperlink"/>
                      </w:rPr>
                      <w:t xml:space="preserve">Computerised</w:t>
                    </w:r>
                    <w:r>
                      <w:rPr>
                        <w:rStyle w:val="Hyperlink"/>
                      </w:rPr>
                      <w:t xml:space="preserve"> </w:t>
                    </w:r>
                    <w:r>
                      <w:rPr>
                        <w:rStyle w:val="Hyperlink"/>
                      </w:rPr>
                      <w:t xml:space="preserve">Syst</w:t>
                    </w:r>
                    <w:r>
                      <w:rPr>
                        <w:rStyle w:val="Hyperlink"/>
                      </w:rPr>
                      <w:t xml:space="preserve"> </w:t>
                    </w:r>
                    <w:r>
                      <w:rPr>
                        <w:rStyle w:val="Hyperlink"/>
                      </w:rPr>
                      <w:t xml:space="preserve">ems</w:t>
                    </w:r>
                  </w:hyperlink>
                </w:p>
              </w:tc>
              <w:tc>
                <w:tcPr/>
                <w:p>
                  <w:pPr>
                    <w:pStyle w:val="Compact"/>
                    <w:jc w:val="left"/>
                    <w:jc w:val="center"/>
                  </w:pPr>
                  <w:r>
                    <w:t xml:space="preserve">European standard for</w:t>
                  </w:r>
                  <w:r>
                    <w:t xml:space="preserve"> </w:t>
                  </w:r>
                  <w:r>
                    <w:t xml:space="preserve">comupterised systems validation.</w:t>
                  </w:r>
                </w:p>
              </w:tc>
            </w:tr>
            <w:tr>
              <w:tc>
                <w:tcPr/>
                <w:p>
                  <w:pPr>
                    <w:pStyle w:val="Compact"/>
                    <w:jc w:val="left"/>
                    <w:jc w:val="center"/>
                  </w:pPr>
                  <w:hyperlink r:id="rId76">
                    <w:r>
                      <w:rPr>
                        <w:rStyle w:val="Hyperlink"/>
                      </w:rPr>
                      <w:t xml:space="preserve">R: Regulatory Compliance and</w:t>
                    </w:r>
                    <w:r>
                      <w:rPr>
                        <w:rStyle w:val="Hyperlink"/>
                      </w:rPr>
                      <w:t xml:space="preserve"> </w:t>
                    </w:r>
                    <w:r>
                      <w:rPr>
                        <w:rStyle w:val="Hyperlink"/>
                      </w:rPr>
                      <w:t xml:space="preserve">Validation Issues - A Guidance</w:t>
                    </w:r>
                    <w:r>
                      <w:rPr>
                        <w:rStyle w:val="Hyperlink"/>
                      </w:rPr>
                      <w:t xml:space="preserve"> </w:t>
                    </w:r>
                    <w:r>
                      <w:rPr>
                        <w:rStyle w:val="Hyperlink"/>
                      </w:rPr>
                      <w:t xml:space="preserve">Document for the Use of R in</w:t>
                    </w:r>
                    <w:r>
                      <w:rPr>
                        <w:rStyle w:val="Hyperlink"/>
                      </w:rPr>
                      <w:t xml:space="preserve"> </w:t>
                    </w:r>
                    <w:r>
                      <w:rPr>
                        <w:rStyle w:val="Hyperlink"/>
                      </w:rPr>
                      <w:t xml:space="preserve">Regulated Clinical Trial</w:t>
                    </w:r>
                    <w:r>
                      <w:rPr>
                        <w:rStyle w:val="Hyperlink"/>
                      </w:rPr>
                      <w:t xml:space="preserve"> </w:t>
                    </w:r>
                    <w:r>
                      <w:rPr>
                        <w:rStyle w:val="Hyperlink"/>
                      </w:rPr>
                      <w:t xml:space="preserve">Environm</w:t>
                    </w:r>
                    <w:r>
                      <w:rPr>
                        <w:rStyle w:val="Hyperlink"/>
                      </w:rPr>
                      <w:t xml:space="preserve"> </w:t>
                    </w:r>
                    <w:r>
                      <w:rPr>
                        <w:rStyle w:val="Hyperlink"/>
                      </w:rPr>
                      <w:t xml:space="preserve">ents</w:t>
                    </w:r>
                  </w:hyperlink>
                </w:p>
              </w:tc>
              <w:tc>
                <w:tcPr/>
                <w:p>
                  <w:pPr>
                    <w:pStyle w:val="Compact"/>
                    <w:jc w:val="left"/>
                    <w:jc w:val="center"/>
                  </w:pPr>
                  <w:r>
                    <w:t xml:space="preserve">R Foundation for Statistical</w:t>
                  </w:r>
                  <w:r>
                    <w:t xml:space="preserve"> </w:t>
                  </w:r>
                  <w:r>
                    <w:t xml:space="preserve">Computing guidance document for</w:t>
                  </w:r>
                  <w:r>
                    <w:t xml:space="preserve"> </w:t>
                  </w:r>
                  <w:r>
                    <w:t xml:space="preserve">the validation of R for the use</w:t>
                  </w:r>
                  <w:r>
                    <w:t xml:space="preserve"> </w:t>
                  </w:r>
                  <w:r>
                    <w:t xml:space="preserve">in regulated environments.</w:t>
                  </w:r>
                </w:p>
              </w:tc>
            </w:tr>
          </w:tbl>
          <w:bookmarkEnd w:id="77"/>
          <w:p/>
        </w:tc>
      </w:tr>
    </w:tbl>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74" Target="http://ww%20w.fda.gov/downloads/RegulatoryInf%20ormation/Guidances/ucm125125.pdf" TargetMode="External" /><Relationship Type="http://schemas.openxmlformats.org/officeDocument/2006/relationships/hyperlink" Id="rId72" Target="http://www.ispe.org/gamp-5" TargetMode="External" /><Relationship Type="http://schemas.openxmlformats.org/officeDocument/2006/relationships/hyperlink" Id="rId42" Target="https://cran.r-project.org/" TargetMode="External" /><Relationship Type="http://schemas.openxmlformats.org/officeDocument/2006/relationships/hyperlink" Id="rId71"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5"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6" Target="https://unibe365-my.sharepo%20int.com/:b:/r/personal/marie_roum%20et_unibe_ch/Documents/SCTO_platfo%20rm/Validation_taskforce/Reference%20s/R-FDA.pdf?csf=1&amp;web=1&amp;e=84DLAN" TargetMode="External" /><Relationship Type="http://schemas.openxmlformats.org/officeDocument/2006/relationships/hyperlink" Id="rId73"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70"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74" Target="http://ww%20w.fda.gov/downloads/RegulatoryInf%20ormation/Guidances/ucm125125.pdf" TargetMode="External" /><Relationship Type="http://schemas.openxmlformats.org/officeDocument/2006/relationships/hyperlink" Id="rId72" Target="http://www.ispe.org/gamp-5" TargetMode="External" /><Relationship Type="http://schemas.openxmlformats.org/officeDocument/2006/relationships/hyperlink" Id="rId42" Target="https://cran.r-project.org/" TargetMode="External" /><Relationship Type="http://schemas.openxmlformats.org/officeDocument/2006/relationships/hyperlink" Id="rId71"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5"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6" Target="https://unibe365-my.sharepo%20int.com/:b:/r/personal/marie_roum%20et_unibe_ch/Documents/SCTO_platfo%20rm/Validation_taskforce/Reference%20s/R-FDA.pdf?csf=1&amp;web=1&amp;e=84DLAN" TargetMode="External" /><Relationship Type="http://schemas.openxmlformats.org/officeDocument/2006/relationships/hyperlink" Id="rId73"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70"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2024-12-19T13:28:08Z</dcterms:created>
  <dcterms:modified xsi:type="dcterms:W3CDTF">2024-12-19T13:28:08Z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