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Cyril Jaksic</w:t>
                  </w:r>
                  <w:r>
                    <w:rPr>
                      <w:rStyle w:val="FootnoteReference"/>
                    </w:rPr>
                    <w:footnoteReference w:id="23"/>
                  </w:r>
                </w:p>
              </w:tc>
              <w:tc>
                <w:tcPr/>
                <w:p>
                  <w:pPr>
                    <w:pStyle w:val="Compact"/>
                  </w:pPr>
                  <w:r>
                    <w:t xml:space="preserve">2026-05-07</w:t>
                  </w:r>
                </w:p>
              </w:tc>
            </w:tr>
            <w:tr>
              <w:tc>
                <w:tcPr/>
                <w:p>
                  <w:pPr>
                    <w:pStyle w:val="Compact"/>
                  </w:pPr>
                  <w:r>
                    <w:t xml:space="preserve">Reviewed by:</w:t>
                  </w:r>
                </w:p>
              </w:tc>
              <w:tc>
                <w:tcPr/>
                <w:p>
                  <w:pPr>
                    <w:pStyle w:val="Compact"/>
                  </w:pPr>
                  <w:r>
                    <w:t xml:space="preserve">Alan Haynes</w:t>
                  </w:r>
                  <w:r>
                    <w:rPr>
                      <w:rStyle w:val="FootnoteReference"/>
                    </w:rPr>
                    <w:footnoteReference w:id="24"/>
                  </w:r>
                </w:p>
              </w:tc>
              <w:tc>
                <w:tcPr/>
                <w:p>
                  <w:pPr>
                    <w:pStyle w:val="Compact"/>
                  </w:pPr>
                  <w:r>
                    <w:t xml:space="preserve">2026-05-07</w:t>
                  </w:r>
                </w:p>
              </w:tc>
            </w:tr>
          </w:tbl>
          <w:p>
            <w:pPr>
              <w:pStyle w:val="BodyText"/>
            </w:pPr>
          </w:p>
          <w:p>
            <w:pPr>
              <w:pStyle w:val="BodyText"/>
            </w:pPr>
            <w:r>
              <w:rPr>
                <w:b/>
                <w:bCs/>
                <w:i/>
                <w:iCs/>
              </w:rPr>
              <w:t xml:space="preserve">Version History</w:t>
            </w:r>
          </w:p>
          <w:p>
            <w:pPr>
              <w:pStyle w:val="BodyText"/>
            </w:pPr>
          </w:p>
          <w:tbl>
            <w:tblPr>
              <w:tblStyle w:val="Table"/>
              <w:tblW w:type="pct" w:w="4898"/>
              <w:tblLayout w:type="fixed"/>
              <w:tblLook w:firstRow="1" w:lastRow="0" w:firstColumn="0" w:lastColumn="0" w:noHBand="0" w:noVBand="0" w:val="0020"/>
            </w:tblPr>
            <w:tblGrid>
              <w:gridCol w:w="1939"/>
              <w:gridCol w:w="1939"/>
              <w:gridCol w:w="1939"/>
              <w:gridCol w:w="1939"/>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r>
              <w:tc>
                <w:tcPr/>
                <w:p>
                  <w:pPr>
                    <w:pStyle w:val="Compact"/>
                    <w:jc w:val="left"/>
                  </w:pPr>
                  <w:r>
                    <w:t xml:space="preserve">1.1</w:t>
                  </w:r>
                </w:p>
              </w:tc>
              <w:tc>
                <w:tcPr/>
                <w:p>
                  <w:pPr>
                    <w:pStyle w:val="Compact"/>
                    <w:jc w:val="left"/>
                  </w:pPr>
                  <w:r>
                    <w:t xml:space="preserve">2026-05-07</w:t>
                  </w:r>
                </w:p>
              </w:tc>
              <w:tc>
                <w:tcPr/>
                <w:p>
                  <w:pPr>
                    <w:pStyle w:val="Compact"/>
                    <w:jc w:val="left"/>
                  </w:pPr>
                  <w:r>
                    <w:t xml:space="preserve">Cyril Jaksic</w:t>
                  </w:r>
                </w:p>
              </w:tc>
              <w:tc>
                <w:tcPr/>
                <w:p>
                  <w:pPr>
                    <w:pStyle w:val="Compact"/>
                    <w:jc w:val="left"/>
                  </w:pPr>
                  <w:r>
                    <w:t xml:space="preserve">Update in links and</w:t>
                  </w:r>
                  <w:r>
                    <w:t xml:space="preserve"> </w:t>
                  </w:r>
                  <w:r>
                    <w:t xml:space="preserve">documents version</w:t>
                  </w:r>
                </w:p>
              </w:tc>
            </w:tr>
          </w:tbl>
          <w:p>
            <w:pPr>
              <w:pStyle w:val="BodyText"/>
            </w:pPr>
            <w:pPr>
              <w:spacing w:after="16"/>
            </w:pPr>
          </w:p>
        </w:tc>
      </w:tr>
    </w:tbl>
    <w:bookmarkStart w:id="25"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5"/>
    <w:bookmarkStart w:id="36"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6"/>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7"/>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8"/>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29">
        <w:r>
          <w:rPr>
            <w:rStyle w:val="Hyperlink"/>
          </w:rPr>
          <w:t xml:space="preserve">EMA Guideline on computerised systems and electronic data in clinical trials</w:t>
        </w:r>
      </w:hyperlink>
    </w:p>
    <w:p>
      <w:pPr>
        <w:pStyle w:val="Compact"/>
        <w:numPr>
          <w:ilvl w:val="0"/>
          <w:numId w:val="1004"/>
        </w:numPr>
      </w:pPr>
      <w:hyperlink r:id="rId30">
        <w:r>
          <w:rPr>
            <w:rStyle w:val="Hyperlink"/>
          </w:rPr>
          <w:t xml:space="preserve">ICH E6: Guideline for Good Clinical Practice</w:t>
        </w:r>
      </w:hyperlink>
    </w:p>
    <w:p>
      <w:pPr>
        <w:pStyle w:val="Compact"/>
        <w:numPr>
          <w:ilvl w:val="0"/>
          <w:numId w:val="1004"/>
        </w:numPr>
      </w:pPr>
      <w:hyperlink r:id="rId31">
        <w:r>
          <w:rPr>
            <w:rStyle w:val="Hyperlink"/>
          </w:rPr>
          <w:t xml:space="preserve">Eudralex 4 Good Manufacturing Practice Guidelines, Annex 11: Computerised Systems</w:t>
        </w:r>
      </w:hyperlink>
    </w:p>
    <w:p>
      <w:pPr>
        <w:pStyle w:val="Compact"/>
        <w:numPr>
          <w:ilvl w:val="0"/>
          <w:numId w:val="1004"/>
        </w:numPr>
      </w:pPr>
      <w:hyperlink r:id="rId32">
        <w:r>
          <w:rPr>
            <w:rStyle w:val="Hyperlink"/>
          </w:rPr>
          <w:t xml:space="preserve">GAMP 5: A Risk Based Approach to Compliant GxP Computerized systems</w:t>
        </w:r>
      </w:hyperlink>
    </w:p>
    <w:p>
      <w:pPr>
        <w:pStyle w:val="Compact"/>
        <w:numPr>
          <w:ilvl w:val="0"/>
          <w:numId w:val="1004"/>
        </w:numPr>
      </w:pPr>
      <w:hyperlink r:id="rId33">
        <w:r>
          <w:rPr>
            <w:rStyle w:val="Hyperlink"/>
          </w:rPr>
          <w:t xml:space="preserve">FDA 21 CFR part 11: Electronic Records; Electronic Signatures</w:t>
        </w:r>
      </w:hyperlink>
    </w:p>
    <w:p>
      <w:pPr>
        <w:pStyle w:val="Compact"/>
        <w:numPr>
          <w:ilvl w:val="0"/>
          <w:numId w:val="1004"/>
        </w:numPr>
      </w:pPr>
      <w:hyperlink r:id="rId34">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5">
        <w:r>
          <w:rPr>
            <w:rStyle w:val="Hyperlink"/>
          </w:rPr>
          <w:t xml:space="preserve">SCTO statistics’ platform</w:t>
        </w:r>
      </w:hyperlink>
      <w:r>
        <w:t xml:space="preserve">.</w:t>
      </w:r>
    </w:p>
    <w:bookmarkEnd w:id="36"/>
    <w:bookmarkStart w:id="42"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7">
        <w:r>
          <w:rPr>
            <w:rStyle w:val="Hyperlink"/>
          </w:rPr>
          <w:t xml:space="preserve">r-project.org</w:t>
        </w:r>
      </w:hyperlink>
      <w:r>
        <w:t xml:space="preserve">). It is an official part of the Free Software Foundation’s GNU</w:t>
      </w:r>
      <w:r>
        <w:rPr>
          <w:rStyle w:val="FootnoteReference"/>
        </w:rPr>
        <w:footnoteReference w:id="38"/>
      </w:r>
      <w:r>
        <w:t xml:space="preserve"> </w:t>
      </w:r>
      <w:r>
        <w:t xml:space="preserve">project and is released under the</w:t>
      </w:r>
      <w:r>
        <w:t xml:space="preserve"> </w:t>
      </w:r>
      <w:hyperlink r:id="rId39">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0">
        <w:r>
          <w:rPr>
            <w:rStyle w:val="Hyperlink"/>
          </w:rPr>
          <w:t xml:space="preserve">R: Regulatory compliance and validation issues – a guidance document, 2026</w:t>
        </w:r>
      </w:hyperlink>
      <w:r>
        <w:t xml:space="preserve">) and is available via the Central R Archive Network (</w:t>
      </w:r>
      <w:hyperlink r:id="rId41">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2"/>
    <w:bookmarkStart w:id="43"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0">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3"/>
    <w:bookmarkStart w:id="45"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4"/>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5"/>
    <w:bookmarkStart w:id="48" w:name="sec-scope"/>
    <w:p>
      <w:pPr>
        <w:pStyle w:val="Heading1"/>
      </w:pPr>
      <w:r>
        <w:t xml:space="preserve">6. Scope of this SCTO Validation Policy</w:t>
      </w:r>
    </w:p>
    <w:bookmarkStart w:id="46"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6"/>
    <w:bookmarkStart w:id="47"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7"/>
    <w:bookmarkEnd w:id="48"/>
    <w:bookmarkStart w:id="65"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49"/>
        </w:tc>
      </w:tr>
    </w:tbl>
    <w:bookmarkStart w:id="50"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0"/>
    <w:bookmarkStart w:id="58"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1">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0">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5">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6">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6">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7"/>
          <w:p/>
        </w:tc>
      </w:tr>
    </w:tbl>
    <w:bookmarkEnd w:id="58"/>
    <w:bookmarkStart w:id="63"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2"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1"/>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2"/>
          <w:p/>
        </w:tc>
      </w:tr>
    </w:tbl>
    <w:bookmarkEnd w:id="63"/>
    <w:bookmarkStart w:id="64"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4"/>
    <w:bookmarkEnd w:id="65"/>
    <w:bookmarkStart w:id="66"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59">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6"/>
    <w:bookmarkStart w:id="67"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7"/>
    <w:bookmarkStart w:id="68"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8"/>
    <w:bookmarkStart w:id="69" w:name="sec-associated-documents"/>
    <w:p>
      <w:pPr>
        <w:pStyle w:val="Heading1"/>
      </w:pPr>
      <w:r>
        <w:t xml:space="preserve">11. Associated Documents</w:t>
      </w:r>
    </w:p>
    <w:p>
      <w:pPr>
        <w:pStyle w:val="DefinitionTerm"/>
      </w:pPr>
      <w:hyperlink r:id="rId59">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0">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69"/>
    <w:bookmarkStart w:id="73" w:name="sec-references"/>
    <w:p>
      <w:pPr>
        <w:pStyle w:val="Heading1"/>
      </w:pPr>
      <w:r>
        <w:t xml:space="preserve">12. References</w:t>
      </w:r>
    </w:p>
    <w:p>
      <w:pPr>
        <w:pStyle w:val="DefinitionTerm"/>
      </w:pPr>
      <w:hyperlink r:id="rId29">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0">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0">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3">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1">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2">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0">
        <w:r>
          <w:rPr>
            <w:rStyle w:val="Hyperlink"/>
          </w:rPr>
          <w:t xml:space="preserve">R: Regulatory Compliance and Validation Issues - A Guidance Document for the Use of R in Regulated Clinical Trial Environments</w:t>
        </w:r>
      </w:hyperlink>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Statistician, Clinical Research Centre, Geneva University Hospitals</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 w:id="26">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7">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8">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8">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4">
    <w:p>
      <w:pPr>
        <w:pStyle w:val="FootnoteText"/>
      </w:pPr>
      <w:r>
        <w:rPr>
          <w:rStyle w:val="FootnoteReference"/>
        </w:rPr>
        <w:footnoteRef/>
      </w:r>
      <w:r>
        <w:t xml:space="preserve"> </w:t>
      </w:r>
      <w:r>
        <w:t xml:space="preserve">For example, standards set by the local IT department.</w:t>
      </w:r>
    </w:p>
  </w:footnote>
  <w:footnote w:id="61">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2026-08-21T13:45:20Z</dcterms:created>
  <dcterms:modified xsi:type="dcterms:W3CDTF">2026-08-21T13:45:20Z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