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before="360" w:after="6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PROGNOZAREA POTENȚIALULUI COMERCIAL AL CONCEPTELOR DE JOCURI PE BAZA GENURILOR ȘI A COMBINAȚIILOR DE MECANICI DE JOC, FOLOSIND DATELE PLATFORMEI STEAM</w:t>
      </w:r>
    </w:p>
    <w:p>
      <w:pPr>
        <w:widowControl/>
        <w:spacing w:after="9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ПРОГНОЗИРОВАНИЕ КОММЕРЧЕСКОГО ПОТЕНЦИАЛА ИГРОВЫХ КОНЦЕПЦИЙ ПО ЖАНРУ И СОЧЕТАНИЯМ ИГРОВЫХ МЕХАНИК НА ДАННЫХ STEAM</w:t>
      </w:r>
    </w:p>
    <w:p>
      <w:pPr>
        <w:widowControl/>
        <w:spacing w:after="90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[Prenume NUME]</w:t>
      </w:r>
    </w:p>
    <w:p>
      <w:pPr>
        <w:widowControl/>
        <w:spacing w:after="90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/>
          <w:sz w:val="24"/>
          <w:szCs w:val="24"/>
        </w:rPr>
        <w:t>Departamentul Informatică și Ingineria Sistemelor, grupa [grupa], Facultatea FCIM, Universitatea Tehnică a Moldovei, Chișinău, Moldova</w:t>
      </w:r>
    </w:p>
    <w:p>
      <w:pPr>
        <w:widowControl/>
        <w:spacing w:after="36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Autorul corespondent: [Prenume NUME], e-mail: [e-mail]</w:t>
      </w:r>
    </w:p>
    <w:p>
      <w:pPr>
        <w:widowControl/>
        <w:spacing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Îndrumătorul/coordonatorul științific: [Nume, titlu științific]</w:t>
      </w:r>
    </w:p>
    <w:p>
      <w:pPr>
        <w:pStyle w:val="1"/>
        <w:keepNext/>
        <w:pageBreakBefore/>
        <w:widowControl/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Резюме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Исследуется связь жанров и игровых механик с масштабом аудитории продуктов Steam. Из закреплённого снимка сформирована выборка 8 000 платных игр, извлечены 36 типов элементов и 18 846 свидетельств. Сопоставлены пять классификаторов с независимыми частями обучения, выбора модели, калибровки и проверки. Выбранная HGB получила test group log loss 0,5954; преимущество взаимодействий статистически не подтверждено. Прогноз доступного игрового времени сопровождается интервалом с test-покрытием 90,4%.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Приложение дополнено отдельным каталогом 94 016 игр, гибким подбором референсов и TF–IDF-сходством тегов с игрой-ориентиром. На пяти контрольных запросах проверены состав выдачи и соблюдение фильтров. Оценки владельцев и отзывы не заменяют продажи; точность коммерческого прогноза и экспертная релевантность рекомендаций требуют дополнительных данных.</w:t>
      </w:r>
    </w:p>
    <w:p>
      <w:pPr>
        <w:widowControl/>
        <w:spacing w:before="240" w:after="60" w:line="360" w:lineRule="auto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Ключевые слова: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Steam, игровые механики, машинное обучение, неопределённость, поиск аналогов, TF–IDF.</w:t>
      </w:r>
    </w:p>
    <w:p>
      <w:pPr>
        <w:pStyle w:val="1"/>
        <w:keepNext/>
        <w:pageBreakBefore w:val="0"/>
        <w:widowControl/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Введение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Разработчик выбирает жанр, механики и цену до появления полной информации о спросе. Анализ существующих игр помогает сопоставить концепцию с наблюдаемыми продуктами. Однако популярность отдельных компонентов не гарантирует качество их сочетания. Исследования Steam уже рассматривали прогноз популярности по жанрам и контексту [12], а также классификации игровых понятий по тегам [13]. В данной работе проверяется конкретная гипотеза и разрабатывается приложение для исследования концепций.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Цель: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оценить воспроизводимый подход к прогнозированию масштаба аудитории и поиску сопоставимых игр. Задачи: подготовить корпус; извлечь механики; сравнить модели; исследовать ошибки и неопределённость; реализовать конструктор и повторение эксперимента. </w:t>
      </w: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Гипотеза: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разрешение взаимодействий признаков в HGB уменьшает ошибку относительно сопоставимого варианта с ограничением взаимодействий. Собственный вклад включает конвейер данных, контроль утечек и прозрачный подбор аналогов; новый алгоритм ML или мировой приоритет не заявляются.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1. Данные и методология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1.1 Корпус и целевые переменные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Источник — Steam Games Dataset автора FronkonGames [1, 10], закреплённая ревизия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ba4e26785af33bee500e96597068c6e77f4edea9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, CSV версии 20.06.2026. Проверяется SHA-256; исправлен объединённый заголовок DiscountDLC count. Из 125 855 строк после содержательных фильтров осталось 89 170; выбрано 8 000 игр по наименьшим SHA-256(seed:AppID), seed = 42. Отбирались платные продукты с релизом от 2010 года, возрастом не менее 180 дней, разработчиком, описанием и корректным owner-диапазоном. Демо и служебные продукты исключались.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Основная цель — четыре диапазона оценочных владельцев: &lt;20 тыс., 20–100 тыс., 100–500 тыс., ≥500 тыс. SteamSpy предупреждает о погрешностях, особенно малых выборок, и различает владение и продажу [2]. Нижняя категория не означает 20 000 покупателей. Положительные оценки медианных часов доступны у 2 021 игр; пропуски не заменяются нулями. Часы не измеряют D7/D30-retention. Отзывы, владельцы и часы исключены из входов модели.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Используются 53 признака: шесть контекстных, десять жанровых, 36 индикаторов элементов и их количество. Элементы извлекаются из точных тегов, категорий и ограниченных фраз с учётом отрицаний; сохраняются URL и свидетельство [3]. Подготовлено 1 440 задач ручной проверки, заполнено 0; независимые precision/recall пока отсутствуют. Собственный прямой парсер проверен на 36 играх. Лицензия MIT карточки набора не передаёт права на сторонние описания и обложки.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1.2 Сравнение моделей и проверка гипотезы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Игры общих разработчиков объединены транзитивно в 6 763 группы. Train/validation/calibration/test содержат соответственно 4 000/1 207/1 176/1 617 игр; группы не пересекаются. Модель выбирается по validation, калибруется отдельно; test применяется для итоговой оценки.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Сравниваются prior, HGB на жанрах и контексте, Logistic Regression и два HGB-классификатора с одинаковыми параметрами [7]. Основная пара отличается ограничением no_interactions: 120 итераций, 15 листьев, минимум 25 наблюдений в листе, learning rate 0,07, L2 = 5, seed = 42. Ограничение относится к входным столбцам; производное число механик не позволяет трактовать модель как полностью независимую по исходным элементам.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Основная метрика — log loss, усреднённая сначала внутри студии, затем по студиям; дополнительно оцениваются balanced accuracy и Brier. Для Δ = L_additive − L_interactions выполнен парный bootstrap по 1 353 test-группам, 1 500 повторений. Sigmoid-калибровка проверяется reliability-кривыми и ECE [5, 8]. Для объяснений используются permutation importance и LIME [6, 9]; они не устанавливают причинный эффект механики.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1.3 Поиск аналогов и оценка неопределённости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поиска подготовлен отдельный каталог 94 016 игр из того же снимка; неизвестные owner-метки допустимы. Каталог не участвует в обучении или выборе классификатора. Структурный балл S = 0,55(0,7C + 0,3J) + 0,25G + 0,12P + 0,08A объединяет покрытие выбранных механик C, их Жаккар J, жанровое сходство G и близость цены P и возраста A. Для последних используется exp(−|Δlog(1+x)|); вес Indie в жанровом Жаккаре равен 0,1. Без выбранных механик вес жанров равен 0,8.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Режим «Ближайшие» допускает половину выбранных элементов, требует 30 отзывов и подтверждения выбранных Co-op/PvP категориями Steam. «Строгий» требует все элементы и цену в пределах трёхкратного отношения. «Рыночные референсы» допускают четверть элементов, начинают со 100 отзывов и упорядочиваются по отзывам. Отличия режимов показываются явно; фильтры доступны пользователю. Отзывы не входят в S, а рыночный список не меняет прогноз модели.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Теги формата или игра-ориентир уточняют запрос. Общие жанры исключаются, остальные теги представляются L2-нормированными TF–IDF-векторами [15]. Балл равен 100(0,45S + 0,55T), где T — косинусное сходство; ориентир исключается из выдачи. При неизвестных тегах используется S. Веса эвристические, экспертная релевантность ещё не измерена.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часов сравниваются медиана, Bayesian Ridge и HGB в шкале log(1 + hours). Интервал строится по calibration-остаткам и связан со split conformal prediction [11]; зависимость игр и сдвиг данных ограничивают перенос гарантий. Он не является байесовским credible interval.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2. Результаты и обсуждение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2.1 Качество прогноза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По validation выбрана HGB с ограничением взаимодействий (табл. 1, рис. 1). Её test log loss 0,5954 описательно ниже prior на 16,2%; отдельный интервал для этого сравнения не рассчитывался. Для основной пары Δ = −0,0035, 95% bootstrap-интервал [−0,0163; +0,0088]. Преимущество взаимодействий не подтверждено; это не доказывает отсутствие взаимодействий в реальном игровом опыте.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1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Метрики классификаторов; validation до калибровки, test после калибровки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614"/>
        <w:gridCol w:w="1614"/>
        <w:gridCol w:w="1614"/>
        <w:gridCol w:w="1614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Модель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Validation L_group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L_group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Brier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Balanced accuracy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Константный prior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0,6512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0,7104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0,3795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0,2500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HGB: жанры и контекст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0,5677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0,6159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0,3312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0,3674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Logistic Regression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0,5358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0,6443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0,3455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0,3490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ограниченная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0,5294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0,3239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0,3642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взаимодействия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0,5429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0,5989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0,3266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0,3859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4999" cy="1891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1891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1. Ошибка вероятностей и balanced accuracy на независимой test-части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Общая accuracy выбранной модели 78,1% скрывает дисбаланс: полнота диапазонов составляет 98,6%, 7,6%, 9,0% и 30,4% (рис. 2). Следовательно, крупные аудитории распознаются слабо. Временной тест также ограничен дисбалансом и послерелизными признаками.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4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_erro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2. Матрица ошибок выбранной модели: число игр и доля внутри истинного класса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порога 20 тыс. ECE вырос с 0,0159 до 0,0271 (рис. 3); калибровка не обеспечила улучшения. Для часов по validation выбрана HGB; на test Bayesian Ridge оказалась точнее. Покрытие номинального 90% интервала выбранной модели — 90,4%, но его перенос на новые продукты не подтверждён.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68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libr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3. Reliability-кривые до и после калибровки для трёх порогов аудитории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2.2 Проверка поиска аналогов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Реконструкция старого top-12 для RPG с крафтом и кооперативом дала 10 игр с менее чем 30 отзывами и 10 без подтверждённого категориями кооператива. Расширение каталога и разделение режимов изменили состав выдачи (табл. 2). Строгий поиск оставляет 241 кандидатов, обычный — 904, широкий — 1 277. Это сравнение ширины и состава поиска, а не независимой точности рекомендаций.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2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Выдача для RPG с крафтом и кооперативом; глубина сравнения 12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52"/>
        <w:gridCol w:w="2152"/>
        <w:gridCol w:w="2152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Режим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Кандидатов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Медиана отзывов в top-12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Покрытие выбранных механик, %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Исходный Jaccard (train)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4 000 до ранжирования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13,0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45,8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Строгий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241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675,0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100,0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Ближайшие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904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798,5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100,0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Рыночные референсы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1 277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696626,0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87,5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94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trieval_mo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4. Число кандидатов при разных условиях отбора на пяти контрольных концепциях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широком режиме появляются Terraria, Stardew Valley и Valheim; их заметность не доказывает одинаковый бюджет или игровой цикл. Ориентир Stardew Valley поднимает Coral Island, Roots of Pacha, Sun Haven и Dinkum (рис. 5). Независимые Precision@k/NDCG не заявляются: для них нужна экспертная оценка пар «концепция — игра».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ag_anch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5. Поиск с ориентиром Stardew Valley; отзывы показаны отдельно от сходства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2.3 Приложение и воспроизводимость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Game Concept Lab предоставляет конструктор, прогноз диапазонов, часы с интервалом, сценарные сравнения, LIME, аналоги и загрузку совместимого CSV. Для Indie/RPG, крафта и кооператива, цены 14,99 USD, Windows и двух языков P(≥20 тыс.) = 18,8%; оценка часов 4,2, интервал 0,2–21,1. Добавление всех 36 элементов вызывает отказ от численного прогноза при недостатке поддержки.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Свежие сводки отзывов запрашиваются отдельно через GetAppReviews [14]. У Voyagers of Nera снимок содержит 0 отзывов, проверка от 2026-10-08 вернула 2 655. Разные даты и правила подсчёта ограничивают прямое сравнение; новый ответ не заменяет старые цели. Диапазон &lt;20 тыс. и неизвестная аудитория снабжены пояснениями.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Сохранены seed, контрольные суммы, разбиения и предсказания. Проверены неизменность исходных результатов ML и совпадение пересчитанных test-вероятностей; 100 тестов прошли. Интерфейс проверен в Chrome при ширинах 1 440 и 1 920 пикселей. Изменение фильтров и ориентира не меняет прогноз. Подробные протоколы, исходные таблицы и код сборки сохранены в проекте.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Выводы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Разработан воспроизводимый конвейер анализа Steam и приложение для исследования игровых концепций. Ограниченная HGB получила group log loss 0,5954; гипотеза преимущества взаимодействий не подтверждена. Ошибки редких классов и калибровки показывают пределы практического применения. Поиск расширен до 94 016 игр, добавлены гибкие режимы, ориентир и графики различий.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Результаты остаются ретроспективными: метаданные получены после релиза, проверка извлечения и экспертная оценка ранжирования не завершены. Owner-оценки, отзывы и часы не определяют продажи, прибыль или удержание. Для дальнейшей проверки необходимы независимая разметка, исторические признаки и результаты на фиксированных горизонтах; реальные продажи доступны через авторизованные источники [4].</w:t>
      </w:r>
    </w:p>
    <w:p>
      <w:pPr>
        <w:pStyle w:val="1"/>
        <w:keepNext/>
        <w:pageBreakBefore w:val="0"/>
        <w:widowControl/>
        <w:spacing w:before="0" w:after="160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Библиография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[1]</w:t>
        <w:tab/>
        <w:t xml:space="preserve">FronkonGames. Steam Games Dataset. Hugging Face. DOI: 10.57967/hf/0511. В эксперименте: ревизия ba4e26785af33bee500e96597068c6e77f4edea9, games.csv версии 20.06.2026. </w:t>
      </w:r>
      <w:hyperlink r:id="rId10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Карточка набора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[2]</w:t>
        <w:tab/>
        <w:t xml:space="preserve">Galyonkin S. About Steam Spy: methodology and interpretation of owners. </w:t>
      </w:r>
      <w:hyperlink r:id="rId11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Описание SteamSpy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[3]</w:t>
        <w:tab/>
        <w:t xml:space="preserve">Valve. Steam Tags. Steamworks Documentation. </w:t>
      </w:r>
      <w:hyperlink r:id="rId12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Документация тегов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[4]</w:t>
        <w:tab/>
        <w:t xml:space="preserve">Valve. Reporting and Payments. Steamworks Documentation. </w:t>
      </w:r>
      <w:hyperlink r:id="rId13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Финансовая отчётность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[5]</w:t>
        <w:tab/>
        <w:t xml:space="preserve">Guo C., Pleiss G., Sun Y., Weinberger K. Q. On Calibration of Modern Neural Networks. ICML, 2017. </w:t>
      </w:r>
      <w:hyperlink r:id="rId18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arXiv:1706.04599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[6]</w:t>
        <w:tab/>
        <w:t xml:space="preserve">Ribeiro M. T., Singh S., Guestrin C. "Why Should I Trust You?": Explaining the Predictions of Any Classifier. 2016. </w:t>
      </w:r>
      <w:hyperlink r:id="rId19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arXiv:1602.04938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[7]</w:t>
        <w:tab/>
        <w:t xml:space="preserve">scikit-learn developers. HistGradientBoostingClassifier. Документация версии 1.8.0. </w:t>
      </w:r>
      <w:hyperlink r:id="rId20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Описание алгоритма и interaction_cst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[8]</w:t>
        <w:tab/>
        <w:t xml:space="preserve">scikit-learn developers. Probability calibration. Документация версии 1.8.0. </w:t>
      </w:r>
      <w:hyperlink r:id="rId21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Калибровка вероятностей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[9]</w:t>
        <w:tab/>
        <w:t xml:space="preserve">scikit-learn developers. Permutation feature importance. Документация версии 1.8.0. </w:t>
      </w:r>
      <w:hyperlink r:id="rId22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Перестановочная важность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[10]</w:t>
        <w:tab/>
        <w:t xml:space="preserve">FronkonGames. Steam-Games-Scraper. </w:t>
      </w:r>
      <w:hyperlink r:id="rId23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Исходный код сборщика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[11]</w:t>
        <w:tab/>
        <w:t xml:space="preserve">Angelopoulos A. N., Bates S. A Gentle Introduction to Conformal Prediction and Distribution-Free Uncertainty Quantification. 2021; обновление 2022. </w:t>
      </w:r>
      <w:hyperlink r:id="rId24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arXiv:2107.07511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[12]</w:t>
        <w:tab/>
        <w:t xml:space="preserve">De Luisa A., Hartman J., Nabergoj D., Pahor S., Rus M., Stevanoski B., Demšar J., Štrumbelj E. Predicting the Popularity of Games on Steam. 2021. </w:t>
      </w:r>
      <w:hyperlink r:id="rId25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arXiv:2110.02896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[13]</w:t>
        <w:tab/>
        <w:t xml:space="preserve">Grelier N., Kaufmann S. Data-Driven Classifications of Video Game Vocabulary. 2023. </w:t>
      </w:r>
      <w:hyperlink r:id="rId26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arXiv:2303.07179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[14]</w:t>
        <w:tab/>
        <w:t xml:space="preserve">Valve. IUserReviewsService: GetAppReviews. </w:t>
      </w:r>
      <w:hyperlink r:id="rId27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Steamworks Documentation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09.10.2026.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[15]</w:t>
        <w:tab/>
        <w:t xml:space="preserve">scikit-learn developers. TfidfVectorizer. </w:t>
      </w:r>
      <w:hyperlink r:id="rId28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Документация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09.10.2026.</w:t>
      </w:r>
    </w:p>
    <w:sectPr w:rsidR="0005417A">
      <w:headerReference w:type="default" r:id="rId14"/>
      <w:footerReference w:type="default" r:id="rId15"/>
      <w:pgSz w:w="11906" w:h="16838"/>
      <w:pgMar w:top="1900" w:right="850" w:bottom="1500" w:left="1701" w:header="4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8F1FE" w14:textId="77777777" w:rsidR="0005417A" w:rsidRDefault="0062038C">
    <w:pPr>
      <w:pBdr>
        <w:top w:val="single" w:sz="8" w:space="6" w:color="A6A6A6"/>
      </w:pBdr>
      <w:spacing w:after="40"/>
      <w:ind w:left="-300" w:right="-100"/>
      <w:jc w:val="center"/>
    </w:pPr>
    <w:r>
      <w:t>Chisinau, 09.10.2026</w:t>
    </w:r>
  </w:p>
  <w:p w14:paraId="2F18F1FF" w14:textId="7142F269" w:rsidR="0005417A" w:rsidRDefault="0062038C">
    <w:pPr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EA200B">
      <w:rPr>
        <w:noProof/>
      </w:rPr>
      <w:t>1</w:t>
    </w:r>
    <w:r>
      <w:fldChar w:fldCharType="end"/>
    </w:r>
    <w:r>
      <w:t xml:space="preserve"> -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5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00"/>
      <w:gridCol w:w="7855"/>
    </w:tblGrid>
    <w:tr w:rsidR="0005417A" w14:paraId="2F18F1FC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F18F1F9" w14:textId="77777777" w:rsidR="0005417A" w:rsidRDefault="0062038C">
          <w:r>
            <w:rPr>
              <w:noProof/>
            </w:rPr>
            <w:drawing>
              <wp:inline distT="0" distB="0" distL="0" distR="0" wp14:anchorId="2F18F200" wp14:editId="2F18F201">
                <wp:extent cx="742950" cy="552450"/>
                <wp:effectExtent l="0" t="0" r="0" b="0"/>
                <wp:docPr id="1790659841" name="logo" descr="Logo UTM" title="UT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F18F1FA" w14:textId="77777777" w:rsidR="0005417A" w:rsidRPr="00EA200B" w:rsidRDefault="0062038C">
          <w:pPr>
            <w:spacing w:after="40"/>
            <w:jc w:val="center"/>
            <w:rPr>
              <w:lang w:val="en-US"/>
            </w:rPr>
          </w:pPr>
          <w:r w:rsidRPr="00EA200B">
            <w:rPr>
              <w:b/>
              <w:bCs/>
              <w:lang w:val="en-US"/>
            </w:rPr>
            <w:t>Technical Scientific Conference of Undergraduate, Master, PhD students</w:t>
          </w:r>
        </w:p>
        <w:p w14:paraId="2F18F1FB" w14:textId="77777777" w:rsidR="0005417A" w:rsidRDefault="0062038C">
          <w:pPr>
            <w:spacing w:after="40"/>
            <w:jc w:val="center"/>
          </w:pPr>
          <w:r>
            <w:rPr>
              <w:b/>
              <w:bCs/>
            </w:rPr>
            <w:t>Technical University of Moldova</w:t>
          </w:r>
        </w:p>
      </w:tc>
    </w:tr>
  </w:tbl>
  <w:p w14:paraId="2F18F1FD" w14:textId="77777777" w:rsidR="0005417A" w:rsidRDefault="0005417A">
    <w:pPr>
      <w:pBdr>
        <w:bottom w:val="single" w:sz="18" w:space="1" w:color="A6A6A6"/>
      </w:pBdr>
      <w:spacing w:before="60"/>
      <w:ind w:left="-500" w:right="-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65A49"/>
    <w:multiLevelType w:val="hybridMultilevel"/>
    <w:tmpl w:val="154ED6D6"/>
    <w:lvl w:ilvl="0" w:tplc="697C4312">
      <w:start w:val="1"/>
      <w:numFmt w:val="bullet"/>
      <w:lvlText w:val="●"/>
      <w:lvlJc w:val="left"/>
      <w:pPr>
        <w:ind w:left="720" w:hanging="360"/>
      </w:pPr>
    </w:lvl>
    <w:lvl w:ilvl="1" w:tplc="8E909038">
      <w:start w:val="1"/>
      <w:numFmt w:val="bullet"/>
      <w:lvlText w:val="○"/>
      <w:lvlJc w:val="left"/>
      <w:pPr>
        <w:ind w:left="1440" w:hanging="360"/>
      </w:pPr>
    </w:lvl>
    <w:lvl w:ilvl="2" w:tplc="1CE8422E">
      <w:start w:val="1"/>
      <w:numFmt w:val="bullet"/>
      <w:lvlText w:val="■"/>
      <w:lvlJc w:val="left"/>
      <w:pPr>
        <w:ind w:left="2160" w:hanging="360"/>
      </w:pPr>
    </w:lvl>
    <w:lvl w:ilvl="3" w:tplc="475A9B4C">
      <w:start w:val="1"/>
      <w:numFmt w:val="bullet"/>
      <w:lvlText w:val="●"/>
      <w:lvlJc w:val="left"/>
      <w:pPr>
        <w:ind w:left="2880" w:hanging="360"/>
      </w:pPr>
    </w:lvl>
    <w:lvl w:ilvl="4" w:tplc="3DE62A22">
      <w:start w:val="1"/>
      <w:numFmt w:val="bullet"/>
      <w:lvlText w:val="○"/>
      <w:lvlJc w:val="left"/>
      <w:pPr>
        <w:ind w:left="3600" w:hanging="360"/>
      </w:pPr>
    </w:lvl>
    <w:lvl w:ilvl="5" w:tplc="D23267AA">
      <w:start w:val="1"/>
      <w:numFmt w:val="bullet"/>
      <w:lvlText w:val="■"/>
      <w:lvlJc w:val="left"/>
      <w:pPr>
        <w:ind w:left="4320" w:hanging="360"/>
      </w:pPr>
    </w:lvl>
    <w:lvl w:ilvl="6" w:tplc="707EF0CE">
      <w:start w:val="1"/>
      <w:numFmt w:val="bullet"/>
      <w:lvlText w:val="●"/>
      <w:lvlJc w:val="left"/>
      <w:pPr>
        <w:ind w:left="5040" w:hanging="360"/>
      </w:pPr>
    </w:lvl>
    <w:lvl w:ilvl="7" w:tplc="D92C2C4E">
      <w:start w:val="1"/>
      <w:numFmt w:val="bullet"/>
      <w:lvlText w:val="●"/>
      <w:lvlJc w:val="left"/>
      <w:pPr>
        <w:ind w:left="5760" w:hanging="360"/>
      </w:pPr>
    </w:lvl>
    <w:lvl w:ilvl="8" w:tplc="381617D4">
      <w:start w:val="1"/>
      <w:numFmt w:val="bullet"/>
      <w:lvlText w:val="●"/>
      <w:lvlJc w:val="left"/>
      <w:pPr>
        <w:ind w:left="6480" w:hanging="360"/>
      </w:pPr>
    </w:lvl>
  </w:abstractNum>
  <w:num w:numId="1" w16cid:durableId="1053768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17A"/>
    <w:rsid w:val="0005417A"/>
    <w:rsid w:val="000F63C5"/>
    <w:rsid w:val="00352AB3"/>
    <w:rsid w:val="0037606B"/>
    <w:rsid w:val="0062038C"/>
    <w:rsid w:val="0085491F"/>
    <w:rsid w:val="00EA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8F0B5"/>
  <w15:docId w15:val="{2C7FC6D9-FF85-49AE-AB93-C2F331F4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15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header" Target="header1.xml"/><Relationship Id="rId5" Type="http://schemas.openxmlformats.org/officeDocument/2006/relationships/image" Target="media/image9.png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9" Type="http://schemas.openxmlformats.org/officeDocument/2006/relationships/image" Target="media/image13.png"/><Relationship Id="rId10" Type="http://schemas.openxmlformats.org/officeDocument/2006/relationships/hyperlink" Target="https://huggingface.co/datasets/FronkonGames/steam-games-dataset" TargetMode="External"/><Relationship Id="rId11" Type="http://schemas.openxmlformats.org/officeDocument/2006/relationships/hyperlink" Target="https://steamspy.com/about" TargetMode="External"/><Relationship Id="rId12" Type="http://schemas.openxmlformats.org/officeDocument/2006/relationships/hyperlink" Target="https://partner.steamgames.com/doc/store/tags" TargetMode="External"/><Relationship Id="rId13" Type="http://schemas.openxmlformats.org/officeDocument/2006/relationships/hyperlink" Target="https://partner.steamgames.com/doc/finance/payments_salesreporting" TargetMode="External"/><Relationship Id="rId18" Type="http://schemas.openxmlformats.org/officeDocument/2006/relationships/hyperlink" Target="https://arxiv.org/abs/1706.04599" TargetMode="External"/><Relationship Id="rId19" Type="http://schemas.openxmlformats.org/officeDocument/2006/relationships/hyperlink" Target="https://arxiv.org/abs/1602.04938" TargetMode="External"/><Relationship Id="rId20" Type="http://schemas.openxmlformats.org/officeDocument/2006/relationships/hyperlink" Target="https://scikit-learn.org/1.8/modules/generated/sklearn.ensemble.HistGradientBoostingClassifier.html" TargetMode="External"/><Relationship Id="rId21" Type="http://schemas.openxmlformats.org/officeDocument/2006/relationships/hyperlink" Target="https://scikit-learn.org/1.8/modules/calibration.html" TargetMode="External"/><Relationship Id="rId22" Type="http://schemas.openxmlformats.org/officeDocument/2006/relationships/hyperlink" Target="https://scikit-learn.org/1.8/modules/permutation_importance.html" TargetMode="External"/><Relationship Id="rId23" Type="http://schemas.openxmlformats.org/officeDocument/2006/relationships/hyperlink" Target="https://github.com/FronkonGames/Steam-Games-Scraper" TargetMode="External"/><Relationship Id="rId24" Type="http://schemas.openxmlformats.org/officeDocument/2006/relationships/hyperlink" Target="https://arxiv.org/abs/2107.07511" TargetMode="External"/><Relationship Id="rId25" Type="http://schemas.openxmlformats.org/officeDocument/2006/relationships/hyperlink" Target="https://arxiv.org/abs/2110.02896" TargetMode="External"/><Relationship Id="rId26" Type="http://schemas.openxmlformats.org/officeDocument/2006/relationships/hyperlink" Target="https://arxiv.org/abs/2303.07179" TargetMode="External"/><Relationship Id="rId27" Type="http://schemas.openxmlformats.org/officeDocument/2006/relationships/hyperlink" Target="https://partner.steamgames.com/doc/webapi/IUserReviewsService" TargetMode="External"/><Relationship Id="rId28" Type="http://schemas.openxmlformats.org/officeDocument/2006/relationships/hyperlink" Target="https://scikit-learn.org/stable/modules/generated/sklearn.feature_extraction.text.TfidfVectorizer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3934</Words>
  <Characters>22428</Characters>
  <Application>Microsoft Office Word</Application>
  <DocSecurity>0</DocSecurity>
  <Lines>186</Lines>
  <Paragraphs>52</Paragraphs>
  <ScaleCrop>false</ScaleCrop>
  <Company/>
  <LinksUpToDate>false</LinksUpToDate>
  <CharactersWithSpaces>26310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ПРОГНОЗИРОВАНИЕ КОММЕРЧЕСКОГО ПОТЕНЦИАЛА ИГРОВЫХ КОНЦЕПЦИЙ ПО ЖАНРУ И СОЧЕТАНИЯМ ИГРОВЫХ МЕХАНИК НА ДАННЫХ STEAM</dc:title>
  <dc:creator/>
  <cp:lastModifiedBy/>
  <cp:revision>6</cp:revision>
  <dcterms:created xsi:type="dcterms:W3CDTF">2026-10-08T18:48:00Z</dcterms:created>
  <dcterms:modified xsi:type="dcterms:W3CDTF">2026-10-08T19:25:00Z</dcterms:modified>
  <dc:subject>Игровая аналитика на данных Steam</dc:subject>
  <dc:description/>
  <cp:keywords>Steam, игровые концепции, машинное обучение, неопределённость</cp:keywords>
  <cp:category>Исследовательская статья</cp:category>
</cp:coreProperties>
</file>