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before="360" w:after="60" w:line="276" w:lineRule="auto"/>
        <w:widowControl w:val="1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i w:val="0"/>
          <w:sz w:val="28"/>
          <w:szCs w:val="28"/>
        </w:rPr>
        <w:t xml:space="preserve">PROGNOZAREA POTENȚIALULUI COMERCIAL AL CONCEPTELOR DE JOCURI PE BAZA GENURILOR ȘI A COMBINAȚIILOR DE MECANICI DE JOC, FOLOSIND DATELE PLATFORMEI STEAM</w:t>
      </w:r>
    </w:p>
    <w:p>
      <w:pPr>
        <w:pStyle w:val="Normal"/>
        <w:spacing w:after="900" w:line="276" w:lineRule="auto"/>
        <w:widowControl w:val="1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  <w:szCs w:val="28"/>
        </w:rPr>
        <w:t xml:space="preserve">ПРОГНОЗИРОВАНИЕ КОММЕРЧЕСКОГО ПОТЕНЦИАЛА ИГРОВЫХ КОНЦЕПЦИЙ ПО ЖАНРУ И СОЧЕТАНИЯМ ИГРОВЫХ МЕХАНИК НА ДАННЫХ STEAM</w:t>
      </w:r>
    </w:p>
    <w:p>
      <w:pPr>
        <w:pStyle w:val="Normal"/>
        <w:spacing w:after="900" w:line="276" w:lineRule="auto"/>
        <w:widowControl w:val="1"/>
        <w:jc w:val="center"/>
        <w:rPr>
          <w:lang w:val="en-US"/>
        </w:rPr>
      </w:pPr>
      <w:r>
        <w:rPr>
          <w:b/>
          <w:lang w:val="en-US"/>
        </w:rPr>
        <w:t xml:space="preserve">Britcov Denis</w:t>
      </w:r>
    </w:p>
    <w:p>
      <w:pPr>
        <w:pStyle w:val="Normal"/>
        <w:spacing w:after="900" w:line="276" w:lineRule="auto"/>
        <w:widowControl w:val="1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 w:val="0"/>
          <w:i/>
          <w:sz w:val="24"/>
          <w:szCs w:val="24"/>
        </w:rPr>
        <w:t xml:space="preserve">Departamentul Informatică și Ingineria Sistemelor, grupa SD-251M, Facultatea FCIM, Universitatea Tehnică a Moldovei, Chișinău, Moldova</w:t>
      </w:r>
    </w:p>
    <w:p>
      <w:pPr>
        <w:pStyle w:val="Normal"/>
        <w:spacing w:after="360" w:line="276" w:lineRule="auto"/>
        <w:widowControl w:val="1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Autorul corespondent: Britcov Denis, britcovdenis@gmail.com</w:t>
      </w:r>
    </w:p>
    <w:p>
      <w:pPr>
        <w:pStyle w:val="Normal"/>
        <w:spacing w:before="0" w:after="0" w:line="276" w:lineRule="auto"/>
        <w:jc w:val="center"/>
        <w:rPr>
          <w:lang w:val="en-US"/>
        </w:rPr>
      </w:pPr>
      <w:r>
        <w:rPr>
          <w:b/>
          <w:bCs/>
          <w:lang w:val="en-US"/>
        </w:rPr>
        <w:t xml:space="preserve">Îndrumătorul/</w:t>
      </w:r>
      <w:r>
        <w:rPr>
          <w:b/>
          <w:bCs/>
          <w:lang w:val="en-US"/>
        </w:rPr>
        <w:t xml:space="preserve">coordonatorul științific: Viorel Munteanu</w:t>
      </w:r>
      <w:r>
        <w:rPr>
          <w:lang w:val="en-US"/>
        </w:rPr>
        <w:t xml:space="preserve">, conf. univ., dr.</w:t>
      </w:r>
    </w:p>
    <w:p>
      <w:pPr>
        <w:pStyle w:val="Normal"/>
        <w:spacing w:line="276" w:lineRule="auto"/>
        <w:widowControl w:val="1"/>
        <w:jc w:val="center"/>
        <w:rPr>
          <w:lang w:val="en-US"/>
        </w:rPr>
      </w:pPr>
      <w:r>
        <w:br w:type="page"/>
      </w:r>
    </w:p>
    <w:p>
      <w:pPr>
        <w:pStyle w:val="Heading 1"/>
        <w:keepNext/>
        <w:spacing w:before="0" w:after="160"/>
        <w:widowControl w:val="1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  <w:szCs w:val="28"/>
        </w:rPr>
        <w:t xml:space="preserve">Резюме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В работе рассматривается связь жанров и игровых механик с размером аудитории игр в Steam. Для исследования сформирована выборка из 8 000 платных игр, выделены 36 типов игровых элементов и сохранены 18 846 свидетельств их наличия. Проведено сравнение пяти классификаторов с отдельными выборками для обучения, выбора модели, калибровки и проверки. Выбранная модель HGB получила групповую ошибку log loss 0,5954 на тестовых данных. Учёт взаимодействий между признаками не дал статистически значимого улучшения. Интервал прогноза игрового времени охватил 90,4% тестовых наблюдений.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Для поиска похожих игр подготовлен отдельный каталог из 94 016 записей. Поиск учитывает жанры, механики и сходство тегов с выбранной игрой по методу TF–IDF. Работа фильтров и состав выдачи проверены на пяти контрольных запросах. Оценки числа владельцев и отзывы рассматриваются как косвенные показатели популярности уже выпущенных игр.</w:t>
      </w:r>
    </w:p>
    <w:p>
      <w:pPr>
        <w:pStyle w:val="Normal"/>
        <w:spacing w:before="240" w:after="60" w:line="360" w:lineRule="auto"/>
        <w:widowControl w:val="1"/>
        <w:jc w:val="both"/>
      </w:pPr>
      <w:r>
        <w:rPr>
          <w:rFonts w:ascii="Times New Roman" w:eastAsia="Times New Roman" w:hAnsi="Times New Roman" w:cs="Times New Roman"/>
          <w:b/>
          <w:i w:val="0"/>
          <w:sz w:val="24"/>
          <w:szCs w:val="24"/>
        </w:rPr>
        <w:t xml:space="preserve">Ключевые слова: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 Steam, игровые механики, машинное обучение, неопределённость, поиск аналогов, TF–IDF.</w:t>
      </w:r>
    </w:p>
    <w:p>
      <w:pPr>
        <w:pStyle w:val="Heading 1"/>
        <w:keepNext/>
        <w:spacing w:before="0" w:after="160"/>
        <w:widowControl w:val="1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  <w:szCs w:val="28"/>
        </w:rPr>
        <w:t xml:space="preserve">Введение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При разработке игровой концепции необходимо выбрать жанр, механики и предполагаемую цену. Данные уже выпущенных игр помогают оценить спрос, хотя популярность отдельных механик сама по себе не определяет успех их сочетания. В исследованиях Steam изучались прогнозирование популярности по жанрам и другим характеристикам [12], а также классификация игровых понятий на основе тегов [13]. В данной работе эти данные используются для оценки размера аудитории и поиска похожих проектов.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/>
          <w:i w:val="0"/>
          <w:sz w:val="24"/>
          <w:szCs w:val="24"/>
        </w:rPr>
        <w:t xml:space="preserve">Цель работы — исследовать возможность прогнозирования размера аудитории игры по её жанру, механикам и другим характеристикам. Для этого подготовлена выборка Steam, выделены игровые элементы, обучены и сравнены модели, а также разработан поиск похожих проектов. В эксперименте проверялась гипотеза о том, что учёт взаимодействий между признаками уменьшает ошибку HGB по сравнению с моделью, в которой такие взаимодействия ограничены.</w:t>
      </w:r>
    </w:p>
    <w:p>
      <w:pPr>
        <w:pStyle w:val="Heading 1"/>
        <w:keepNext/>
        <w:spacing w:after="160"/>
        <w:widowControl w:val="1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  <w:szCs w:val="28"/>
        </w:rPr>
        <w:t xml:space="preserve">1. Данные и методология</w:t>
      </w:r>
    </w:p>
    <w:p>
      <w:pPr>
        <w:pStyle w:val="Heading 2"/>
        <w:keepNext/>
        <w:widowControl w:val="1"/>
        <w:ind w:left="709"/>
      </w:pPr>
      <w:r>
        <w:rPr>
          <w:rFonts w:ascii="Times New Roman" w:eastAsia="Times New Roman" w:hAnsi="Times New Roman" w:cs="Times New Roman"/>
          <w:b/>
          <w:i w:val="0"/>
          <w:sz w:val="24"/>
          <w:szCs w:val="24"/>
        </w:rPr>
        <w:t xml:space="preserve">1.1 Корпус и целевые переменные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Источником данных послужил Steam Games Dataset, опубликованный FronkonGames [1, 10]. Использована ревизия ba4e26785af33bee500e96597068c6e77f4edea9 с файлом CSV от 20.06.2026; целостность файла проверена по SHA-256. Перед обработкой исправлен объединённый заголовок DiscountDLC count. Из 125 855 исходных записей после фильтрации осталось 89 170. Отбирались платные игры, выпущенные с 2010 года не менее чем за 180 дней до даты снимка, с указанным разработчиком, описанием и корректным диапазоном владельцев. Демо и служебные продукты исключены. В итоговую выборку вошли 8 000 игр с наименьшими значениями SHA-256(seed:AppID), где seed = 42.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Целевая переменная разделена на четыре диапазона оценочного числа владельцев: менее 20 тыс., 20–100 тыс., 100–500 тыс. и от 500 тыс. По методологии SteamSpy число владельцев является приблизительной оценкой и отличается от числа продаж [2]. Для анализа игрового времени использованы положительные значения медианных часов, доступные у 2 021 игры. Пропуски не заменялись нулями. Число владельцев, отзывы и игровые часы исключены из входных признаков модели.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Для обучения использованы 53 признака: шесть контекстных характеристик, десять жанров, 36 индикаторов игровых элементов и их общее количество. Элементы выделялись по тегам, категориям и заданным фразам с учётом отрицаний. Для каждого совпадения сохранялись ссылка на источник и подтверждающий фрагмент [3]. Отдельно подготовлено 1 440 задач для ручного анализа признаков. Работа прямого парсера проверена на 36 играх Steam.</w:t>
      </w:r>
    </w:p>
    <w:p>
      <w:pPr>
        <w:pStyle w:val="Heading 2"/>
        <w:keepNext/>
        <w:widowControl w:val="1"/>
        <w:ind w:left="709"/>
      </w:pPr>
      <w:r>
        <w:rPr>
          <w:rFonts w:ascii="Times New Roman" w:eastAsia="Times New Roman" w:hAnsi="Times New Roman" w:cs="Times New Roman"/>
          <w:b/>
          <w:i w:val="0"/>
          <w:sz w:val="24"/>
          <w:szCs w:val="24"/>
        </w:rPr>
        <w:t xml:space="preserve">1.2 Сравнение моделей и проверка гипотезы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Чтобы игры одного разработчика не попадали в разные части данных, они объединены в 6 763 группы. При совпадении хотя бы одного разработчика группы объединялись, включая связанные через другие игры. На обучение выделено 4 000 игр, на выбор модели — 1 207, на калибровку — 1 176 и на итоговую проверку — 1 617. Группы разработчиков между выборками не пересекаются.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Сравнивались пять вариантов: модель с постоянными вероятностями классов, HGB на жанрах и контекстных характеристиках, Logistic Regression и две модели HGB с полным набором признаков [7]. В основной паре изменялось только ограничение взаимодействий no_interactions. Остальные параметры совпадали: 120 итераций, 15 листьев, минимум 25 наблюдений в листе, learning rate 0,07, L2 = 5 и seed = 42. Ограничение действует на входные столбцы; признак общего количества механик при этом содержит сведения сразу о нескольких элементах.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Основной метрикой выбрана log loss: сначала ошибка усреднялась внутри группы разработчиков, затем по группам. Дополнительно рассчитывались balanced accuracy и Brier. Разница ошибок основных моделей определялась как Δ = L_additive − L_interactions. Для её оценки выполнен парный bootstrap по 1 353 тестовым группам с 1 500 повторениями. Качество sigmoid-калибровки оценивалось по reliability-кривым и ECE [5, 8]. Для анализа вклада признаков применялись permutation importance и LIME [6, 9].</w:t>
      </w:r>
    </w:p>
    <w:p>
      <w:pPr>
        <w:pStyle w:val="Heading 2"/>
        <w:keepNext/>
        <w:widowControl w:val="1"/>
        <w:ind w:left="709"/>
      </w:pPr>
      <w:r>
        <w:rPr>
          <w:rFonts w:ascii="Times New Roman" w:eastAsia="Times New Roman" w:hAnsi="Times New Roman" w:cs="Times New Roman"/>
          <w:b/>
          <w:i w:val="0"/>
          <w:sz w:val="24"/>
          <w:szCs w:val="24"/>
        </w:rPr>
        <w:t xml:space="preserve">1.3 Поиск аналогов и оценка неопределённости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Для поиска аналогов из того же снимка подготовлен каталог из 94 016 игр, включая записи с неизвестным диапазоном владельцев. Этот каталог использовался только для поиска и не участвовал в обучении классификаторов. Структурное сходство рассчитывалось по формуле S = 0,55(0,7C + 0,3J) + 0,25G + 0,12P + 0,08A, где C — покрытие выбранных механик, J — сходство наборов механик по Жаккару, G — сходство жанров, P и A — близость цены и возраста. Для P и A использована функция exp(−|Δlog(1+x)|). Вес Indie в жанровом Жаккаре равен 0,1. Без выбранных механик вес жанрового сходства составляет 0,8.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В поиске предусмотрены три режима. «Ближайшие» отбирает игры, содержащие не менее половины заданных элементов и имеющие от 30 отзывов; выбранные Co-op/PvP дополнительно проверяются по категориям Steam. «Строгий» требует всех выбранных элементов и ограничивает различие цен трёхкратным отношением. В режиме «Рыночные референсы» достаточно четверти элементов и 100 отзывов, а результаты упорядочиваются по числу отзывов. Отзывы не входят в структурный балл S. Условия поиска изменяют состав аналогов, сохраняя прогноз для заданной концепции.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Запрос уточняется с помощью тегов формата или игры-ориентира. После исключения общих жанров остальные теги представлены L2-нормированными векторами TF–IDF [15]. Итоговый балл рассчитывается как 100(0,45S + 0,55T), где T — косинусное сходство тегов. Игра-ориентир исключается из выдачи. Если её теги неизвестны, используется только S. Весовые коэффициенты выбраны эвристически.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Для прогноза игрового времени сравнивались медиана обучающей выборки, Bayesian Ridge и HGB. Целевые значения преобразованы в шкалу log(1 + hours). Интервал прогноза построен по остаткам на калибровочной выборке с использованием split conformal prediction [11]. Его покрытие оценивалось на тестовых данных; зависимость игр и изменение распределения данных ограничивают перенос результата на другие выборки.</w:t>
      </w:r>
    </w:p>
    <w:p>
      <w:pPr>
        <w:pStyle w:val="Heading 1"/>
        <w:keepNext/>
        <w:spacing w:after="160"/>
        <w:widowControl w:val="1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  <w:szCs w:val="28"/>
        </w:rPr>
        <w:t xml:space="preserve">2. Результаты и обсуждение</w:t>
      </w:r>
    </w:p>
    <w:p>
      <w:pPr>
        <w:pStyle w:val="Heading 2"/>
        <w:keepNext/>
        <w:widowControl w:val="1"/>
        <w:ind w:left="709"/>
      </w:pPr>
      <w:r>
        <w:rPr>
          <w:rFonts w:ascii="Times New Roman" w:eastAsia="Times New Roman" w:hAnsi="Times New Roman" w:cs="Times New Roman"/>
          <w:b/>
          <w:i w:val="0"/>
          <w:sz w:val="24"/>
          <w:szCs w:val="24"/>
        </w:rPr>
        <w:t xml:space="preserve">2.1 Качество прогноза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По результатам валидации выбрана HGB с ограничением взаимодействий (табл. 1, рис. 1). Её групповая ошибка log loss на тестовых данных составила 0,5954, что на 16,2% ниже ошибки константной модели. Для двух вариантов HGB разность Δ = −0,0035, а 95%-й bootstrap-интервал равен [−0,0163; +0,0088]. Интервал включает ноль, поэтому статистически значимого преимущества взаимодействий на этих данных не обнаружено.</w:t>
      </w:r>
    </w:p>
    <w:p>
      <w:pPr>
        <w:pStyle w:val="Normal"/>
        <w:keepNext/>
        <w:spacing w:before="160"/>
        <w:widowControl w:val="1"/>
        <w:jc w:val="right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Таблица 1</w:t>
      </w:r>
    </w:p>
    <w:p>
      <w:pPr>
        <w:pStyle w:val="Normal"/>
        <w:keepNext/>
        <w:spacing w:after="80" w:line="260" w:lineRule="auto"/>
        <w:widowControl w:val="1"/>
        <w:jc w:val="center"/>
      </w:pPr>
      <w:r>
        <w:rPr>
          <w:rFonts w:ascii="Times New Roman" w:eastAsia="Times New Roman" w:hAnsi="Times New Roman" w:cs="Times New Roman"/>
          <w:b w:val="0"/>
          <w:i w:val="0"/>
          <w:sz w:val="22"/>
          <w:szCs w:val="22"/>
        </w:rPr>
        <w:t xml:space="preserve">Метрики классификаторов: валидационная выборка до калибровки, тестовая — после калибровки</w:t>
      </w:r>
    </w:p>
    <w:tbl>
      <w:tblPr>
        <w:tblW w:w="9355" w:type="dxa"/>
        <w:jc w:val="center"/>
        <w:tblInd w:w="0" w:type="dxa"/>
        <w:tblCellMar>
          <w:top w:w="0" w:type="dxa"/>
          <w:left w:w="10" w:type="dxa"/>
          <w:bottom w:w="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2900"/>
        <w:gridCol w:w="1614"/>
        <w:gridCol w:w="1614"/>
        <w:gridCol w:w="1614"/>
        <w:gridCol w:w="16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  <w:tblHeader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Модель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Validation L_group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Test L_group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Test Brier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Balanced accuracy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Константный prior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0,6512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0,7104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0,3795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0,2500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HGB: жанры и контекст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0,5677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0,6159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0,3312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0,3674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Logistic Regression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0,5358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0,6443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0,3455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0,3490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HGB ограниченная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0,5294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0,5954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0,3239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0,3642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HGB взаимодействия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0,5429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0,5989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0,3266</w:t>
            </w:r>
          </w:p>
        </w:tc>
        <w:tc>
          <w:tcPr>
            <w:tcW w:w="1614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0,3859</w:t>
            </w:r>
          </w:p>
        </w:tc>
      </w:tr>
    </w:tbl>
    <w:p>
      <w:pPr>
        <w:pStyle w:val="Normal"/>
        <w:spacing w:before="0" w:after="40" w:line="240" w:lineRule="auto"/>
      </w:pPr>
    </w:p>
    <w:p>
      <w:pPr>
        <w:pStyle w:val="Normal"/>
        <w:keepNext/>
        <w:spacing w:before="120"/>
        <w:widowControl w:val="1"/>
        <w:jc w:val="center"/>
      </w:pPr>
      <w:r>
        <w:drawing>
          <wp:inline distT="0" distB="0" distL="0" distR="0">
            <wp:extent cx="5714999" cy="1891619"/>
            <wp:effectExtent xmlns:wp="http://schemas.openxmlformats.org/drawingml/2006/wordprocessingDrawing" l="0" t="0" r="0" b="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999" cy="18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60" w:after="200" w:line="260" w:lineRule="auto"/>
        <w:widowControl w:val="1"/>
        <w:jc w:val="center"/>
      </w:pPr>
      <w:r>
        <w:rPr>
          <w:rFonts w:ascii="Times New Roman" w:eastAsia="Times New Roman" w:hAnsi="Times New Roman" w:cs="Times New Roman"/>
          <w:b w:val="0"/>
          <w:i w:val="0"/>
          <w:sz w:val="22"/>
          <w:szCs w:val="22"/>
        </w:rPr>
        <w:t xml:space="preserve">Рисунок 1. Ошибка вероятностей и balanced accuracy на тестовой выборке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Общая accuracy выбранной модели составила 78,1%, однако результаты заметно различаются по диапазонам аудитории. Полнота четырёх классов равна 98,6%, 7,6%, 9,0% и 30,4% соответственно (рис. 2). Высокая общая точность связана с преобладанием первого класса, тогда как более крупные аудитории распознаются значительно хуже. При интерпретации временной проверки также учитывались дисбаланс классов и послерелизный характер признаков.</w:t>
      </w:r>
    </w:p>
    <w:p>
      <w:pPr>
        <w:pStyle w:val="Normal"/>
        <w:keepNext/>
        <w:spacing w:before="120"/>
        <w:widowControl w:val="1"/>
        <w:jc w:val="center"/>
      </w:pPr>
      <w:r>
        <w:drawing>
          <wp:inline distT="0" distB="0" distL="0" distR="0">
            <wp:extent cx="5715000" cy="3534276"/>
            <wp:effectExtent xmlns:wp="http://schemas.openxmlformats.org/drawingml/2006/wordprocessingDrawing" l="0" t="0" r="0" b="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3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60" w:after="200" w:line="260" w:lineRule="auto"/>
        <w:widowControl w:val="1"/>
        <w:jc w:val="center"/>
      </w:pPr>
      <w:r>
        <w:rPr>
          <w:rFonts w:ascii="Times New Roman" w:eastAsia="Times New Roman" w:hAnsi="Times New Roman" w:cs="Times New Roman"/>
          <w:b w:val="0"/>
          <w:i w:val="0"/>
          <w:sz w:val="22"/>
          <w:szCs w:val="22"/>
        </w:rPr>
        <w:t xml:space="preserve">Рисунок 2. Матрица ошибок выбранной модели: число игр и доля внутри каждого истинного класса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Для порога 20 тыс. ECE после калибровки увеличилась с 0,0159 до 0,0271 (рис. 3). В данном случае калибровка не улучшила показатель. Для игрового времени по валидационной выборке выбрана HGB, хотя на тестовых данных меньшую ошибку получила Bayesian Ridge. Фактическое покрытие номинального 90%-го интервала HGB составило 90,4% на рассматриваемой тестовой выборке.</w:t>
      </w:r>
    </w:p>
    <w:p>
      <w:pPr>
        <w:pStyle w:val="Normal"/>
        <w:keepNext/>
        <w:spacing w:before="120"/>
        <w:widowControl w:val="1"/>
        <w:jc w:val="center"/>
      </w:pPr>
      <w:r>
        <w:drawing>
          <wp:inline distT="0" distB="0" distL="0" distR="0">
            <wp:extent cx="5715000" cy="1868754"/>
            <wp:effectExtent xmlns:wp="http://schemas.openxmlformats.org/drawingml/2006/wordprocessingDrawing" l="0" t="0" r="0" b="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60" w:after="200" w:line="260" w:lineRule="auto"/>
        <w:widowControl w:val="1"/>
        <w:jc w:val="center"/>
      </w:pPr>
      <w:r>
        <w:rPr>
          <w:rFonts w:ascii="Times New Roman" w:eastAsia="Times New Roman" w:hAnsi="Times New Roman" w:cs="Times New Roman"/>
          <w:b w:val="0"/>
          <w:i w:val="0"/>
          <w:sz w:val="22"/>
          <w:szCs w:val="22"/>
        </w:rPr>
        <w:t xml:space="preserve">Рисунок 3. Reliability-кривые до и после калибровки для трёх порогов аудитории</w:t>
      </w:r>
    </w:p>
    <w:p>
      <w:pPr>
        <w:pStyle w:val="Heading 2"/>
        <w:keepNext/>
        <w:widowControl w:val="1"/>
        <w:ind w:left="709"/>
      </w:pPr>
      <w:r>
        <w:rPr>
          <w:rFonts w:ascii="Times New Roman" w:eastAsia="Times New Roman" w:hAnsi="Times New Roman" w:cs="Times New Roman"/>
          <w:b/>
          <w:i w:val="0"/>
          <w:sz w:val="24"/>
          <w:szCs w:val="24"/>
        </w:rPr>
        <w:t xml:space="preserve">2.2 Проверка поиска аналогов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Для сравнения способов поиска восстановлена исходная выдача из 12 игр для концепции RPG с крафтом и кооперативом. В ней 10 игр имели менее 30 отзывов, а у 10 кооператив не подтверждался категориями Steam. После расширения каталога и разделения режимов состав выдачи изменился (табл. 2). Строгий поиск оставил 241 кандидата, режим «Ближайшие» — 904, а «Рыночные референсы» — 1 277. Число кандидатов и покрытие механик характеризуют различия между режимами отбора.</w:t>
      </w:r>
    </w:p>
    <w:p>
      <w:pPr>
        <w:pStyle w:val="Normal"/>
        <w:keepNext/>
        <w:spacing w:before="160"/>
        <w:widowControl w:val="1"/>
        <w:jc w:val="right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Таблица 2</w:t>
      </w:r>
    </w:p>
    <w:p>
      <w:pPr>
        <w:pStyle w:val="Normal"/>
        <w:keepNext/>
        <w:spacing w:after="80" w:line="260" w:lineRule="auto"/>
        <w:widowControl w:val="1"/>
        <w:jc w:val="center"/>
      </w:pPr>
      <w:r>
        <w:rPr>
          <w:rFonts w:ascii="Times New Roman" w:eastAsia="Times New Roman" w:hAnsi="Times New Roman" w:cs="Times New Roman"/>
          <w:b w:val="0"/>
          <w:i w:val="0"/>
          <w:sz w:val="22"/>
          <w:szCs w:val="22"/>
        </w:rPr>
        <w:t xml:space="preserve">Результаты поиска для RPG с крафтом и кооперативом; сравниваются первые 12 игр</w:t>
      </w:r>
    </w:p>
    <w:tbl>
      <w:tblPr>
        <w:tblW w:w="9355" w:type="dxa"/>
        <w:jc w:val="center"/>
        <w:tblInd w:w="0" w:type="dxa"/>
        <w:tblCellMar>
          <w:top w:w="0" w:type="dxa"/>
          <w:left w:w="10" w:type="dxa"/>
          <w:bottom w:w="0" w:type="dxa"/>
          <w:right w:w="1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2900"/>
        <w:gridCol w:w="2152"/>
        <w:gridCol w:w="2152"/>
        <w:gridCol w:w="215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  <w:tblHeader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Режим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Кандидатов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Медиана отзывов в top-12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0"/>
                <w:szCs w:val="20"/>
              </w:rPr>
              <w:t xml:space="preserve">Покрытие выбранных механик, 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Исходный Jaccard (train)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4 000 до ранжирования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13,0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45,8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Строгий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241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675,0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100,0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Ближайшие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904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798,5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100,0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" w:type="dxa"/>
            <w:right w:w="10" w:type="dxa"/>
          </w:tblCellMar>
        </w:tblPrEx>
        <w:trPr>
          <w:trHeight w:hRule="atLeast" w:val="20"/>
          <w:cantSplit/>
        </w:trPr>
        <w:tc>
          <w:tcPr>
            <w:tcW w:w="2900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Рыночные референсы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1 277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696626,0</w:t>
            </w:r>
          </w:p>
        </w:tc>
        <w:tc>
          <w:tcPr>
            <w:tcW w:w="2152" w:type="dxa"/>
            <w:tcBorders/>
            <w:shd w:fill="auto" w:color="auto"/>
            <w:vAlign w:val="top"/>
          </w:tcPr>
          <w:p>
            <w:pPr>
              <w:pStyle w:val="Normal"/>
              <w:keepNext w:val="0"/>
              <w:spacing w:before="40" w:after="40" w:line="252" w:lineRule="auto"/>
              <w:widowControl w:val="1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b w:val="0"/>
                <w:i w:val="0"/>
                <w:sz w:val="20"/>
                <w:szCs w:val="20"/>
              </w:rPr>
              <w:t xml:space="preserve">87,5</w:t>
            </w:r>
          </w:p>
        </w:tc>
      </w:tr>
    </w:tbl>
    <w:p>
      <w:pPr>
        <w:pStyle w:val="Normal"/>
        <w:spacing w:before="0" w:after="40" w:line="240" w:lineRule="auto"/>
      </w:pPr>
    </w:p>
    <w:p>
      <w:pPr>
        <w:pStyle w:val="Normal"/>
        <w:keepNext/>
        <w:spacing w:before="120"/>
        <w:widowControl w:val="1"/>
        <w:jc w:val="center"/>
      </w:pPr>
      <w:r>
        <w:drawing>
          <wp:inline distT="0" distB="0" distL="0" distR="0">
            <wp:extent cx="5715000" cy="2394857"/>
            <wp:effectExtent xmlns:wp="http://schemas.openxmlformats.org/drawingml/2006/wordprocessingDrawing" l="0" t="0" r="0" b="0"/>
            <wp:docPr id="4" name="Pict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60" w:after="200" w:line="260" w:lineRule="auto"/>
        <w:widowControl w:val="1"/>
        <w:jc w:val="center"/>
      </w:pPr>
      <w:r>
        <w:rPr>
          <w:rFonts w:ascii="Times New Roman" w:eastAsia="Times New Roman" w:hAnsi="Times New Roman" w:cs="Times New Roman"/>
          <w:b w:val="0"/>
          <w:i w:val="0"/>
          <w:sz w:val="22"/>
          <w:szCs w:val="22"/>
        </w:rPr>
        <w:t xml:space="preserve">Рисунок 4. Число кандидатов при разных условиях отбора на пяти контрольных концепциях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В режиме рыночных референсов найдены Terraria, Stardew Valley и Valheim. Они служат примерами популярных продуктов со схожими элементами, хотя могут отличаться бюджетом и игровым циклом. При выборе Stardew Valley в качестве ориентира выше в выдаче оказались Coral Island, Roots of Pacha, Sun Haven и Dinkum (рис. 5). Учёт сходства тегов изменил порядок найденных аналогов.</w:t>
      </w:r>
    </w:p>
    <w:p>
      <w:pPr>
        <w:pStyle w:val="Normal"/>
        <w:keepNext/>
        <w:spacing w:before="120"/>
        <w:widowControl w:val="1"/>
        <w:jc w:val="center"/>
      </w:pPr>
      <w:r>
        <w:drawing>
          <wp:inline distT="0" distB="0" distL="0" distR="0">
            <wp:extent cx="5715000" cy="2857500"/>
            <wp:effectExtent xmlns:wp="http://schemas.openxmlformats.org/drawingml/2006/wordprocessingDrawing" l="0" t="0" r="0" b="0"/>
            <wp:docPr id="5" name="Pict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keepLines/>
        <w:spacing w:before="60" w:after="200" w:line="260" w:lineRule="auto"/>
        <w:widowControl w:val="1"/>
        <w:jc w:val="center"/>
      </w:pPr>
      <w:r>
        <w:rPr>
          <w:rFonts w:ascii="Times New Roman" w:eastAsia="Times New Roman" w:hAnsi="Times New Roman" w:cs="Times New Roman"/>
          <w:b w:val="0"/>
          <w:i w:val="0"/>
          <w:sz w:val="22"/>
          <w:szCs w:val="22"/>
        </w:rPr>
        <w:t xml:space="preserve">Рисунок 5. Поиск с ориентиром Stardew Valley; отзывы показаны отдельно от сходства</w:t>
      </w:r>
    </w:p>
    <w:p>
      <w:pPr>
        <w:pStyle w:val="Heading 2"/>
        <w:keepNext/>
        <w:widowControl w:val="1"/>
        <w:ind w:left="709"/>
      </w:pPr>
      <w:r>
        <w:rPr>
          <w:rFonts w:ascii="Times New Roman" w:eastAsia="Times New Roman" w:hAnsi="Times New Roman" w:cs="Times New Roman"/>
          <w:b/>
          <w:i w:val="0"/>
          <w:sz w:val="24"/>
          <w:szCs w:val="24"/>
        </w:rPr>
        <w:t xml:space="preserve">2.3 Пример применения модели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Для проверки подхода рассмотрена концепция Indie/RPG с крафтом и кооперативом, ценой 14,99 USD, платформой Windows и двумя языками. Вероятность аудитории не менее 20 тыс. владельцев составила 18,8%. Оценка игрового времени равна 4,2 часа при интервале 0,2–21,1 часа. При добавлении всех 36 элементов численный прогноз не выдавался: такое сочетание недостаточно представлено в обучающих данных.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При работе с аналогами учитывалось изменение сведений об играх со временем. Для Voyagers of Nera исходный снимок содержал 0 отзывов, а запрос через GetAppReviews от 08.10.2026 вернул 2 655 [14]. Новые сводки сохранялись отдельно от данных эксперимента. Актуальная сводка дополнила сведения о найденной игре, не изменяя исходные данные эксперимента.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Для воспроизведения эксперимента сохранены seed, контрольные суммы файлов, распределение игр по выборкам и полученные предсказания. При повторном расчёте вероятности на тестовой выборке совпали с сохранёнными значениями. Подбор аналогов выполнялся отдельно от прогностической модели, поэтому изменение фильтров и игры-ориентира влияло только на результаты поиска.</w:t>
      </w:r>
    </w:p>
    <w:p>
      <w:pPr>
        <w:pStyle w:val="Heading 1"/>
        <w:keepNext/>
        <w:spacing w:after="160"/>
        <w:widowControl w:val="1"/>
        <w:jc w:val="center"/>
      </w:pPr>
    </w:p>
    <w:p>
      <w:pPr>
        <w:pStyle w:val="Heading 1"/>
        <w:keepNext/>
        <w:spacing w:after="160"/>
        <w:widowControl w:val="1"/>
        <w:jc w:val="center"/>
      </w:pPr>
    </w:p>
    <w:p>
      <w:pPr>
        <w:pStyle w:val="Heading 1"/>
        <w:keepNext/>
        <w:spacing w:after="160"/>
        <w:widowControl w:val="1"/>
        <w:jc w:val="center"/>
      </w:pPr>
      <w:r>
        <w:rPr>
          <w:rFonts w:ascii="Times New Roman" w:eastAsia="Times New Roman" w:hAnsi="Times New Roman" w:cs="Times New Roman"/>
          <w:b/>
          <w:i w:val="0"/>
          <w:sz w:val="28"/>
          <w:szCs w:val="28"/>
        </w:rPr>
        <w:t xml:space="preserve">Выводы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В работе сформирована выборка из 8 000 игр Steam, разработано извлечение игровых механик и проведено сравнение пяти классификаторов. По валидационной выборке выбрана HGB с ограничением взаимодействий; её групповая ошибка log loss на тестовых данных составила 0,5954. Статистически значимого преимущества модели с взаимодействиями не обнаружено. Анализ ошибок выявил слабое распознавание крупных аудиторий, а проверка калибровки показала ухудшение ECE для порога 20 тыс. Для сравнения концепций реализован поиск по отдельному каталогу из 94 016 игр с тремя режимами отбора и выбором игры-ориентира.</w:t>
      </w:r>
    </w:p>
    <w:p>
      <w:pPr>
        <w:pStyle w:val="Normal"/>
        <w:spacing w:after="60" w:line="360" w:lineRule="auto"/>
        <w:widowControl w:val="1"/>
        <w:ind w:firstLine="709"/>
        <w:jc w:val="both"/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Полученные результаты описывают связи между характеристиками уже выпущенных игр и оценками их аудитории. Метаданные зафиксированы после релиза, поэтому выводы имеют ретроспективный характер. Диапазоны владельцев, отзывы и игровое время отражают разные стороны популярности и не равнозначны продажам, прибыли или удержанию игроков. Сведения о продажах относятся к отдельной финансовой отчётности Steam [4]. В этих пределах разработанный подход позволяет сравнивать игровые концепции с существующими продуктами и учитывать неопределённость прогноза.</w:t>
      </w:r>
    </w:p>
    <w:p>
      <w:pPr>
        <w:pStyle w:val="Heading 1"/>
        <w:keepNext/>
        <w:spacing w:before="0" w:after="160"/>
        <w:widowControl w:val="1"/>
        <w:jc w:val="center"/>
        <w:rPr>
          <w:lang w:val="en-US"/>
        </w:rPr>
      </w:pPr>
      <w:r>
        <w:br w:type="page"/>
      </w:r>
    </w:p>
    <w:p>
      <w:pPr>
        <w:pStyle w:val="Heading 1"/>
        <w:keepNext/>
        <w:spacing w:before="0" w:after="160"/>
        <w:widowControl w:val="1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b/>
          <w:i w:val="0"/>
          <w:sz w:val="28"/>
          <w:szCs w:val="28"/>
        </w:rPr>
        <w:t xml:space="preserve">Библиография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[1]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FronkonGames. Steam Games Dataset. Hugging Face. DOI: 10.57967/hf/0511. В эксперименте: ревизия ba4e26785af33bee500e96597068c6e77f4edea9, games.csv версии 20.06.2026. </w:t>
      </w:r>
      <w:r>
        <w:fldChar w:fldCharType="begin"/>
      </w:r>
      <w:r>
        <w:instrText xml:space="preserve">HYPERLINK "https://huggingface.co/datasets/FronkonGames/steam-games-dataset"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Карточка набора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 Дата обращения: 08.10.2026.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[2]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Galyonkin S. About Steam Spy: methodology and interpretation of owners. </w:t>
      </w:r>
      <w:r>
        <w:fldChar w:fldCharType="begin"/>
      </w:r>
      <w:r>
        <w:instrText xml:space="preserve">HYPERLINK "https://steamspy.com/about"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Описание SteamSpy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 Дата обращения: 08.10.2026.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[3]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Valve. Steam Tags. Steamworks Documentation. </w:t>
      </w:r>
      <w:r>
        <w:fldChar w:fldCharType="begin"/>
      </w:r>
      <w:r>
        <w:instrText xml:space="preserve">HYPERLINK "https://partner.steamgames.com/doc/store/tags"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Документация тегов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 Дата обращения: 08.10.2026.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[4]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Valve. Reporting and Payments. Steamworks Documentation. </w:t>
      </w:r>
      <w:r>
        <w:fldChar w:fldCharType="begin"/>
      </w:r>
      <w:r>
        <w:instrText xml:space="preserve">HYPERLINK "https://partner.steamgames.com/doc/finance/payments_salesreporting"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Финансовая отчётность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 Дата обращения: 08.10.2026.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[5]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Guo C., Pleiss G., Sun Y., Weinberger K. Q. On Calibration of Modern Neural Networks. ICML, 2017. </w:t>
      </w:r>
      <w:r>
        <w:fldChar w:fldCharType="begin"/>
      </w:r>
      <w:r>
        <w:instrText xml:space="preserve">HYPERLINK "https://arxiv.org/abs/1706.04599"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arXiv:1706.04599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[6]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Ribeiro M. T., Singh S., Guestrin C. "Why Should I Trust You?": Explaining the Predictions of Any Classifier. 2016. </w:t>
      </w:r>
      <w:r>
        <w:fldChar w:fldCharType="begin"/>
      </w:r>
      <w:r>
        <w:instrText xml:space="preserve">HYPERLINK "https://arxiv.org/abs/1602.04938"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arXiv:1602.04938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[7]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scikit-learn developers. HistGradientBoostingClassifier. Документация версии 1.8.0. </w:t>
      </w:r>
      <w:r>
        <w:fldChar w:fldCharType="begin"/>
      </w:r>
      <w:r>
        <w:instrText xml:space="preserve">HYPERLINK "https://scikit-learn.org/1.8/modules/generated/sklearn.ensemble.HistGradientBoostingClassifier.html"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Описание алгоритма и interaction_cst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 Дата обращения: 08.10.2026.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[8]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scikit-learn developers. Probability calibration. Документация версии 1.8.0. </w:t>
      </w:r>
      <w:r>
        <w:fldChar w:fldCharType="begin"/>
      </w:r>
      <w:r>
        <w:instrText xml:space="preserve">HYPERLINK "https://scikit-learn.org/1.8/modules/calibration.html"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Калибровка вероятностей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 Дата обращения: 08.10.2026.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[9]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scikit-learn developers. Permutation feature importance. Документация версии 1.8.0. </w:t>
      </w:r>
      <w:r>
        <w:fldChar w:fldCharType="begin"/>
      </w:r>
      <w:r>
        <w:instrText xml:space="preserve">HYPERLINK "https://scikit-learn.org/1.8/modules/permutation_importance.html"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Перестановочная важность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 Дата обращения: 08.10.2026.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[10]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FronkonGames. Steam-Games-Scraper. </w:t>
      </w:r>
      <w:r>
        <w:fldChar w:fldCharType="begin"/>
      </w:r>
      <w:r>
        <w:instrText xml:space="preserve">HYPERLINK "https://github.com/FronkonGames/Steam-Games-Scraper"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Исходный код сборщика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 Дата обращения: 08.10.2026.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[11]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Angelopoulos A. N., Bates S. A Gentle Introduction to Conformal Prediction and Distribution-Free Uncertainty Quantification. 2021; обновление 2022. </w:t>
      </w:r>
      <w:r>
        <w:fldChar w:fldCharType="begin"/>
      </w:r>
      <w:r>
        <w:instrText xml:space="preserve">HYPERLINK "https://arxiv.org/abs/2107.07511"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arXiv:2107.07511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[12]</w:t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De Luisa A., Hartman J., Nabergoj D., Pahor S., Rus M., Stevanoski B., Demšar J., Štrumbelj E. Predicting the Popularity of Games on Steam. 2021. </w:t>
      </w:r>
      <w:r>
        <w:fldChar w:fldCharType="begin"/>
      </w:r>
      <w:r>
        <w:instrText xml:space="preserve">HYPERLINK "https://arxiv.org/abs/2110.02896" </w:instrText>
      </w:r>
      <w:r>
        <w:fldChar w:fldCharType="separate"/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arXiv:2110.02896</w:t>
      </w:r>
      <w:r>
        <w:fldChar w:fldCharType="end"/>
      </w: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[13]</w:t>
        <w:tab/>
        <w:t xml:space="preserve">Grelier N., Kaufmann S. Data-Driven Classifications of Video Game Vocabulary. 2023. arXiv:2303.07179.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[14]</w:t>
        <w:tab/>
        <w:t xml:space="preserve">Valve. IUserReviewsService: GetAppReviews. Steamworks Documentation. Дата обращения: 09.10.2026.</w:t>
      </w:r>
    </w:p>
    <w:p>
      <w:pPr>
        <w:pStyle w:val="Normal"/>
        <w:spacing w:after="80" w:line="300" w:lineRule="auto"/>
        <w:widowControl w:val="1"/>
        <w:ind w:left="709" w:hanging="709"/>
        <w:tabs>
          <w:tab w:val="left" w:pos="709.0000152587891"/>
        </w:tabs>
        <w:rPr>
          <w:lang w:val="en-US"/>
        </w:rPr>
      </w:pPr>
      <w:r>
        <w:rPr>
          <w:rFonts w:ascii="Times New Roman" w:eastAsia="Times New Roman" w:hAnsi="Times New Roman" w:cs="Times New Roman"/>
          <w:b w:val="0"/>
          <w:i w:val="0"/>
          <w:sz w:val="24"/>
          <w:szCs w:val="24"/>
        </w:rPr>
        <w:t xml:space="preserve">[15]</w:t>
        <w:tab/>
        <w:t xml:space="preserve">scikit-learn developers. TfidfVectorizer. Документация. Дата обращения: 09.10.2026.</w:t>
      </w:r>
    </w:p>
    <w:sectPr>
      <w:headerReference w:type="default" r:id="rId6"/>
      <w:footerReference w:type="default" r:id="rId7"/>
      <w:type w:val="nextPage"/>
      <w:pgSz w:w="11906" w:h="16838"/>
      <w:pgMar w:top="1900" w:right="850" w:bottom="1500" w:left="1701" w:header="400" w:footer="50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er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single" w:color="A6A6A6" w:sz="8" w:space="6"/>
      </w:pBdr>
      <w:pStyle w:val="Normal"/>
      <w:spacing w:after="40"/>
      <w:ind w:left="-300" w:right="-100"/>
      <w:jc w:val="center"/>
    </w:pPr>
    <w:r>
      <w:t xml:space="preserve">Chisinau, 09.10.2026</w:t>
    </w:r>
  </w:p>
  <w:p>
    <w:pPr>
      <w:pStyle w:val="Normal"/>
      <w:jc w:val="center"/>
    </w:pPr>
    <w:r>
      <w:t xml:space="preserve">- </w:t>
    </w:r>
    <w:r>
      <w:fldChar w:fldCharType="begin"/>
    </w:r>
    <w:r>
      <w:instrText xml:space="preserve">PAGE</w:instrText>
    </w:r>
    <w:r>
      <w:fldChar w:fldCharType="separate"/>
    </w:r>
    <w:r>
      <w:t xml:space="preserve">9</w:t>
    </w:r>
    <w:r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tbl>
    <w:tblPr>
      <w:tblW w:w="9355" w:type="dxa"/>
      <w:jc w:val="left"/>
      <w:tblInd w:w="0" w:type="dxa"/>
      <w:tblCellMar>
        <w:top w:w="0" w:type="dxa"/>
        <w:left w:w="10" w:type="dxa"/>
        <w:bottom w:w="0" w:type="dxa"/>
        <w:right w:w="10" w:type="dxa"/>
      </w:tblCellMar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shd w:fill="auto" w:color="auto"/>
      <w:tblLayout w:type="fixed"/>
    </w:tblPr>
    <w:tblGrid>
      <w:gridCol w:w="1500"/>
      <w:gridCol w:w="7855"/>
    </w:tblGrid>
    <w:tr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rPr>
        <w:trHeight w:hRule="atLeast" w:val="20"/>
      </w:trPr>
      <w:tc>
        <w:tcPr>
          <w:tcW w:w="1500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shd w:fill="auto" w:color="auto"/>
          <w:vAlign w:val="top"/>
        </w:tcPr>
        <w:p>
          <w:pPr>
            <w:pStyle w:val="Normal"/>
          </w:pPr>
          <w:r>
            <w:drawing>
              <wp:inline distT="0" distB="0" distL="0" distR="0">
                <wp:extent cx="742950" cy="552450"/>
                <wp:effectExtent xmlns:wp="http://schemas.openxmlformats.org/drawingml/2006/wordprocessingDrawing" l="0" t="0" r="0" b="0"/>
                <wp:docPr id="6" descr="Logo UTM" name="logo" title="UTM"/>
                <a:graphic>
                  <a:graphicData uri="http://schemas.openxmlformats.org/drawingml/2006/picture">
                    <pic:pic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55" w:type="dxa"/>
          <w:tc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</w:tcBorders>
          <w:shd w:fill="auto" w:color="auto"/>
          <w:vAlign w:val="center"/>
        </w:tcPr>
        <w:p>
          <w:pPr>
            <w:pStyle w:val="Normal"/>
            <w:spacing w:after="40"/>
            <w:jc w:val="center"/>
            <w:rPr>
              <w:lang w:val="en-US"/>
            </w:rPr>
          </w:pPr>
          <w:r>
            <w:rPr>
              <w:b/>
              <w:bCs/>
              <w:lang w:val="en-US"/>
            </w:rPr>
            <w:t xml:space="preserve">Technical Scientific Conference of Undergraduate, Master, PhD students</w:t>
          </w:r>
        </w:p>
        <w:p>
          <w:pPr>
            <w:pStyle w:val="Normal"/>
            <w:spacing w:after="40"/>
            <w:jc w:val="center"/>
          </w:pPr>
          <w:r>
            <w:rPr>
              <w:b/>
              <w:bCs/>
            </w:rPr>
            <w:t xml:space="preserve">Technical University of Moldova</w:t>
          </w:r>
        </w:p>
      </w:tc>
    </w:tr>
  </w:tbl>
  <w:p>
    <w:pPr>
      <w:pBdr>
        <w:bottom w:val="single" w:color="A6A6A6" w:sz="18" w:space="1"/>
      </w:pBdr>
      <w:pStyle w:val="Normal"/>
      <w:spacing w:before="60"/>
      <w:ind w:left="-500" w:right="-10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next w:val="Heading 1"/>
    <w:pPr>
      <w:outlineLvl w:val="0"/>
      <w:spacing w:before="300" w:after="140"/>
    </w:pPr>
    <w:rPr>
      <w:b/>
      <w:bCs/>
      <w:sz w:val="28"/>
      <w:szCs w:val="28"/>
    </w:rPr>
  </w:style>
  <w:style w:type="paragraph" w:styleId="Heading 2">
    <w:name w:val="Heading 2"/>
    <w:next w:val="Heading 2"/>
    <w:pPr>
      <w:outlineLvl w:val="1"/>
      <w:spacing w:before="200" w:after="100"/>
    </w:pPr>
    <w:rPr>
      <w:b/>
      <w:bCs/>
    </w:rPr>
  </w:style>
  <w:style w:type="paragraph" w:styleId="Heading 3">
    <w:name w:val="Heading 3"/>
    <w:next w:val="Heading 3"/>
    <w:pPr>
      <w:outlineLvl w:val="2"/>
    </w:pPr>
    <w:rPr>
      <w:color w:val="1F4D78"/>
    </w:rPr>
  </w:style>
  <w:style w:type="paragraph" w:styleId="Heading 4">
    <w:name w:val="Heading 4"/>
    <w:next w:val="Heading 4"/>
    <w:pPr>
      <w:outlineLvl w:val="3"/>
    </w:pPr>
    <w:rPr>
      <w:i/>
      <w:iCs/>
      <w:color w:val="2E74B5"/>
    </w:rPr>
  </w:style>
  <w:style w:type="paragraph" w:styleId="Heading 5">
    <w:name w:val="Heading 5"/>
    <w:next w:val="Heading 5"/>
    <w:pPr>
      <w:outlineLvl w:val="4"/>
    </w:pPr>
    <w:rPr>
      <w:color w:val="2E74B5"/>
    </w:rPr>
  </w:style>
  <w:style w:type="paragraph" w:styleId="Heading 6">
    <w:name w:val="Heading 6"/>
    <w:next w:val="Heading 6"/>
    <w:pPr>
      <w:outlineLvl w:val="5"/>
    </w:pPr>
    <w:rPr>
      <w:color w:val="1F4D78"/>
    </w:rPr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paragraph" w:styleId="Title">
    <w:name w:val="Title"/>
    <w:next w:val="Title"/>
    <w:pPr/>
    <w:rPr>
      <w:sz w:val="56"/>
      <w:szCs w:val="56"/>
    </w:rPr>
  </w:style>
  <w:style w:type="paragraph" w:styleId="Строгий1">
    <w:name w:val="Строгий1"/>
    <w:next w:val="Строгий1"/>
    <w:pPr/>
    <w:rPr>
      <w:b/>
      <w:bCs/>
    </w:rPr>
  </w:style>
  <w:style w:type="paragraph" w:styleId="List Paragraph">
    <w:name w:val="List Paragraph"/>
    <w:next w:val="List Paragraph"/>
    <w:pPr/>
  </w:style>
  <w:style w:type="character" w:styleId="Hyperlink">
    <w:name w:val="Hyperlink"/>
    <w:basedOn w:val="Default Paragraph Font"/>
    <w:rPr>
      <w:color w:val="0563C1"/>
      <w:u w:val="single"/>
    </w:rPr>
  </w:style>
  <w:style w:type="character" w:styleId="Footnote Reference">
    <w:name w:val="Footnote Reference"/>
    <w:basedOn w:val="Default Paragraph Font"/>
    <w:rPr>
      <w:vertAlign w:val="superscript"/>
    </w:rPr>
  </w:style>
  <w:style w:type="paragraph" w:styleId="Footnote Text">
    <w:name w:val="Footnote Text"/>
    <w:next w:val="Footnote Text"/>
    <w:link w:val="Текст сноски Знак"/>
    <w:pPr/>
    <w:rPr>
      <w:sz w:val="20"/>
      <w:szCs w:val="20"/>
    </w:rPr>
  </w:style>
  <w:style w:type="character" w:styleId="Текст сноски Знак">
    <w:name w:val="Текст сноски Знак"/>
    <w:basedOn w:val="Default Paragraph Font"/>
    <w:link w:val="Footnote Text"/>
    <w:rPr>
      <w:sz w:val="20"/>
      <w:szCs w:val="20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Endnote Text">
    <w:name w:val="Endnote Text"/>
    <w:next w:val="Endnote Text"/>
    <w:link w:val="Текст концевой сноски Знак"/>
    <w:pPr/>
    <w:rPr>
      <w:sz w:val="20"/>
      <w:szCs w:val="20"/>
    </w:rPr>
  </w:style>
  <w:style w:type="character" w:styleId="Текст концевой сноски Знак">
    <w:name w:val="Текст концевой сноски Знак"/>
    <w:basedOn w:val="Default Paragraph Font"/>
    <w:link w:val="Endnote Text"/>
    <w:rPr>
      <w:sz w:val="20"/>
      <w:szCs w:val="20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  <w:style w:type="character" w:styleId="Footnote Text Char">
    <w:name w:val="Footnote Text Char"/>
    <w:basedOn w:val="Default Paragraph Font"/>
    <w:link w:val="Footnote Text"/>
    <w:rPr>
      <w:sz w:val="20"/>
      <w:szCs w:val="20"/>
    </w:rPr>
  </w:style>
  <w:style w:type="character" w:styleId="Endnote Text Char">
    <w:name w:val="Endnote Text Char"/>
    <w:basedOn w:val="Default Paragraph Font"/>
    <w:link w:val="Endnote Text"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endnotes" Target="endnotes.xml" /><Relationship Id="rId12" Type="http://schemas.openxmlformats.org/officeDocument/2006/relationships/footnotes" Target="footnotes.xml" /><Relationship Id="rId13" Type="http://schemas.openxmlformats.org/officeDocument/2006/relationships/theme" Target="theme/theme1.xml" /><Relationship Id="rId7" Type="http://schemas.openxmlformats.org/officeDocument/2006/relationships/footer" Target="footer7.xml" /><Relationship Id="rId6" Type="http://schemas.openxmlformats.org/officeDocument/2006/relationships/header" Target="header6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/Relationships>
</file>

<file path=word/_rels/header6.xml.rels><?xml version="1.0" encoding="utf-8"?><Relationships xmlns="http://schemas.openxmlformats.org/package/2006/relationships"><Relationship Id="rId8" Type="http://schemas.openxmlformats.org/officeDocument/2006/relationships/image" Target="media/imagerId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