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620" distT="0" distL="114300" distR="116205" hidden="0" layoutInCell="1" locked="0" relativeHeight="0" simplePos="0">
                <wp:simplePos x="0" y="0"/>
                <wp:positionH relativeFrom="column">
                  <wp:posOffset>-1701799</wp:posOffset>
                </wp:positionH>
                <wp:positionV relativeFrom="paragraph">
                  <wp:posOffset>279400</wp:posOffset>
                </wp:positionV>
                <wp:extent cx="8943975" cy="61912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889020" y="3669120"/>
                          <a:ext cx="8913960" cy="2217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620" distT="0" distL="114300" distR="116205" hidden="0" layoutInCell="1" locked="0" relativeHeight="0" simplePos="0">
                <wp:simplePos x="0" y="0"/>
                <wp:positionH relativeFrom="column">
                  <wp:posOffset>-1701799</wp:posOffset>
                </wp:positionH>
                <wp:positionV relativeFrom="paragraph">
                  <wp:posOffset>279400</wp:posOffset>
                </wp:positionV>
                <wp:extent cx="8943975" cy="619125"/>
                <wp:effectExtent b="0" l="0" r="0" t="0"/>
                <wp:wrapNone/>
                <wp:docPr id="4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397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10160">
            <wp:extent cx="3305175" cy="1885950"/>
            <wp:effectExtent b="0" l="0" r="0" t="0"/>
            <wp:docPr descr="Switch_logo.png" id="49" name="image14.png"/>
            <a:graphic>
              <a:graphicData uri="http://schemas.openxmlformats.org/drawingml/2006/picture">
                <pic:pic>
                  <pic:nvPicPr>
                    <pic:cNvPr descr="Switch_logo.png" id="0" name="image14.png"/>
                    <pic:cNvPicPr preferRelativeResize="0"/>
                  </pic:nvPicPr>
                  <pic:blipFill>
                    <a:blip r:embed="rId9"/>
                    <a:srcRect b="0" l="307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Rule="auto"/>
        <w:jc w:val="both"/>
        <w:rPr>
          <w:rFonts w:ascii="Calibri" w:cs="Calibri" w:eastAsia="Calibri" w:hAnsi="Calibri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 xml:space="preserve">API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color w:val="f1a00f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f1a00f"/>
          <w:sz w:val="52"/>
          <w:szCs w:val="52"/>
          <w:rtl w:val="0"/>
        </w:rPr>
        <w:t xml:space="preserve">Documentación</w:t>
      </w:r>
    </w:p>
    <w:p w:rsidR="00000000" w:rsidDel="00000000" w:rsidP="00000000" w:rsidRDefault="00000000" w:rsidRPr="00000000" w14:paraId="00000009">
      <w:pPr>
        <w:tabs>
          <w:tab w:val="center" w:pos="4513"/>
          <w:tab w:val="right" w:pos="9026"/>
        </w:tabs>
        <w:jc w:val="both"/>
        <w:rPr>
          <w:rFonts w:ascii="Calibri" w:cs="Calibri" w:eastAsia="Calibri" w:hAnsi="Calibri"/>
          <w:b w:val="1"/>
          <w:color w:val="5f5f5f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620" distT="0" distL="114300" distR="116205" hidden="0" layoutInCell="1" locked="0" relativeHeight="0" simplePos="0">
                <wp:simplePos x="0" y="0"/>
                <wp:positionH relativeFrom="column">
                  <wp:posOffset>-2120899</wp:posOffset>
                </wp:positionH>
                <wp:positionV relativeFrom="paragraph">
                  <wp:posOffset>279400</wp:posOffset>
                </wp:positionV>
                <wp:extent cx="8943975" cy="61468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89020" y="3669120"/>
                          <a:ext cx="8913960" cy="2217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620" distT="0" distL="114300" distR="116205" hidden="0" layoutInCell="1" locked="0" relativeHeight="0" simplePos="0">
                <wp:simplePos x="0" y="0"/>
                <wp:positionH relativeFrom="column">
                  <wp:posOffset>-2120899</wp:posOffset>
                </wp:positionH>
                <wp:positionV relativeFrom="paragraph">
                  <wp:posOffset>279400</wp:posOffset>
                </wp:positionV>
                <wp:extent cx="8943975" cy="614680"/>
                <wp:effectExtent b="0" l="0" r="0" t="0"/>
                <wp:wrapNone/>
                <wp:docPr id="3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3975" cy="614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center" w:pos="4513"/>
          <w:tab w:val="right" w:pos="9026"/>
        </w:tabs>
        <w:jc w:val="both"/>
        <w:rPr>
          <w:rFonts w:ascii="Calibri" w:cs="Calibri" w:eastAsia="Calibri" w:hAnsi="Calibri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513"/>
          <w:tab w:val="right" w:pos="9026"/>
        </w:tabs>
        <w:jc w:val="both"/>
        <w:rPr>
          <w:rFonts w:ascii="Calibri" w:cs="Calibri" w:eastAsia="Calibri" w:hAnsi="Calibri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4513"/>
          <w:tab w:val="right" w:pos="9026"/>
        </w:tabs>
        <w:jc w:val="both"/>
        <w:rPr>
          <w:rFonts w:ascii="Calibri" w:cs="Calibri" w:eastAsia="Calibri" w:hAnsi="Calibri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513"/>
          <w:tab w:val="right" w:pos="9026"/>
        </w:tabs>
        <w:jc w:val="both"/>
        <w:rPr>
          <w:rFonts w:ascii="Calibri" w:cs="Calibri" w:eastAsia="Calibri" w:hAnsi="Calibri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513"/>
          <w:tab w:val="right" w:pos="9026"/>
        </w:tabs>
        <w:jc w:val="both"/>
        <w:rPr>
          <w:rFonts w:ascii="Calibri" w:cs="Calibri" w:eastAsia="Calibri" w:hAnsi="Calibri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513"/>
          <w:tab w:val="right" w:pos="9026"/>
        </w:tabs>
        <w:jc w:val="both"/>
        <w:rPr>
          <w:rFonts w:ascii="Calibri" w:cs="Calibri" w:eastAsia="Calibri" w:hAnsi="Calibri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513"/>
          <w:tab w:val="right" w:pos="9026"/>
        </w:tabs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El presente documento ha sido elaborado por Switch Software Solutions (Integralss SRL) conteniendo información confidencial, por lo que está expresamente prohibida la distribución a terceros, salvo se cuente con autorización explícita en forma escrita.</w:t>
      </w:r>
    </w:p>
    <w:p w:rsidR="00000000" w:rsidDel="00000000" w:rsidP="00000000" w:rsidRDefault="00000000" w:rsidRPr="00000000" w14:paraId="00000011">
      <w:pPr>
        <w:tabs>
          <w:tab w:val="center" w:pos="4513"/>
          <w:tab w:val="right" w:pos="9026"/>
        </w:tabs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025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color w:val="80808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Esquema general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API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Program.cs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Properties/launchSettings.json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appSettings.json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Startup.cs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Endpoints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8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Controller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Resources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Validators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rtl w:val="0"/>
              </w:rPr>
              <w:t xml:space="preserve">Related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entities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Mapping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Core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Services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Repositories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IUnitOfWork.cs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Services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Data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Configurations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Repositories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UnitOfWork.cs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DbContext.cs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Anexo A - Creación/Eliminación de un campo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 propuesta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Api.Resource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Api.Validations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"_heading=h.2p2csry"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Core.Models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"_heading=h.147n2zr"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Data.Configurations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"_heading=h.3o7alnk"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Services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"_heading=h.23ckvvd"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200" w:before="0" w:line="240" w:lineRule="auto"/>
            <w:ind w:left="4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Migrations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"_heading=h.ihv636"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"/>
            </w:tabs>
            <w:spacing w:after="80" w:before="80" w:line="240" w:lineRule="auto"/>
            <w:ind w:left="0" w:firstLine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00" w:before="480" w:line="276" w:lineRule="auto"/>
        <w:ind w:left="0" w:firstLine="0"/>
        <w:jc w:val="both"/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00" w:before="480" w:line="276" w:lineRule="auto"/>
        <w:ind w:firstLine="432"/>
        <w:jc w:val="both"/>
        <w:rPr>
          <w:rFonts w:ascii="Calibri" w:cs="Calibri" w:eastAsia="Calibri" w:hAnsi="Calibri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1"/>
        </w:numPr>
        <w:spacing w:line="276" w:lineRule="auto"/>
        <w:ind w:left="432" w:hanging="432"/>
        <w:jc w:val="both"/>
        <w:rPr>
          <w:rFonts w:ascii="Calibri" w:cs="Calibri" w:eastAsia="Calibri" w:hAnsi="Calibri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Esquema general</w:t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898900"/>
            <wp:effectExtent b="0" l="0" r="0" t="0"/>
            <wp:docPr id="5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1"/>
        </w:numPr>
        <w:ind w:left="432" w:hanging="432"/>
        <w:rPr>
          <w:rFonts w:ascii="Calibri" w:cs="Calibri" w:eastAsia="Calibri" w:hAnsi="Calibri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API es la puerta de entrada al backend.</w:t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clientes realizarán sus peticiones a través de los endpoints expuestos por esta capa.</w:t>
      </w:r>
    </w:p>
    <w:p w:rsidR="00000000" w:rsidDel="00000000" w:rsidP="00000000" w:rsidRDefault="00000000" w:rsidRPr="00000000" w14:paraId="0000003C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Program.cs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Aquí comienza la ejecución del sistema.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 el Web host y define nuestra clase startup.</w:t>
      </w:r>
    </w:p>
    <w:p w:rsidR="00000000" w:rsidDel="00000000" w:rsidP="00000000" w:rsidRDefault="00000000" w:rsidRPr="00000000" w14:paraId="0000003F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Properties/launchSettings.json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este json se configura como y donde se va a levantar el sitio.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Como se verá más adelante, 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 variable de entorno a tener en cuenta es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"ASPNETCORE_ENVIRONMENT": "Development"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appSettings.json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este json se configura la app, pudiendo personalizar cada configuración por ambiente. Esto se logra mediante el post-fijo que indica justamente en que ambiente estamos corriendo.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appsettings.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appsettings.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UAT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Esto se define mediante la variable de entorno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ASPNETCORE_ENVIRONMENT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antes mencionada, la que permite optar por uno u otra configuración</w:t>
      </w:r>
      <w:r w:rsidDel="00000000" w:rsidR="00000000" w:rsidRPr="00000000">
        <w:rPr>
          <w:rFonts w:ascii="Calibri" w:cs="Calibri" w:eastAsia="Calibri" w:hAnsi="Calibri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string de conexión, la configuración del log y/o de la autorización de usuarios, son ejemplos de configuraciones que se pueden encontrar aquí.</w:t>
      </w:r>
    </w:p>
    <w:p w:rsidR="00000000" w:rsidDel="00000000" w:rsidP="00000000" w:rsidRDefault="00000000" w:rsidRPr="00000000" w14:paraId="00000049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Startup.cs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la clase con la que se define la inicialización de la aplicación y es llamada por el framework al comienzo del proceso.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manera muy similar a lo que se describió para appsettings, se puede definir la configuración para el ambiente en el que se está ejecutando (definido por la variable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ASPNETCORE_ENVIRONMENT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 Esto se logra introduciendo el método Configure[enviroment](IApplicationBuilder app, IWebHostEnvironment env), donde [enviroment] es el nombre del ambiente. Esto hace que se ejecute este método y no el método Configure(IApplicationBuilder app, IWebHostEnvironment env).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 mismo sucede con el método ConfigureServices.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 fines prácticos, en esta clase, incluimos todos los servicios que van a ser utilizados (inyectados) en nuestros controllers.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modo de ejemplo: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services.AddTransient&lt;IUserService, UserService&gt;();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Extensions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ServiceExtensions.cs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clase tiene como objetivo nuclear las configuraciones de la aplicación, de manera de no sobrecargar de información nuestra clase startup. Desde esta última, se llaman a los métodos incluidos en ServiceExtensions.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Swagger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0"/>
          <w:rtl w:val="0"/>
        </w:rPr>
        <w:t xml:space="preserve">Un punto a notar es la integración con Swagger incluida en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ServiceExtensions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 el método ConfigureSwagger se configura  la generación automática de las vista provista por Swagger, donde se incluye el detalle de cada uno de los endpoints y la posibilidad de ejecutarlos de forma sencilla.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114300" distR="114300">
            <wp:extent cx="5720715" cy="3007360"/>
            <wp:effectExtent b="0" l="0" r="0" t="0"/>
            <wp:docPr id="5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00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Endpoints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114300" distR="114300">
            <wp:extent cx="3400425" cy="4648200"/>
            <wp:effectExtent b="0" l="0" r="0" t="0"/>
            <wp:docPr id="5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La carpeta Endpoints contiene cada uno de los servicios expuestos, agrupoados por los controladores responsables de manejar los requests y responses.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 ejemplo desplegado en la imagen, se muestra la carpeta Auto, que incluye AutoController.cs como controlador y recursos (con sus validaciones) para los request y response para las operaciones Create, Update, Read y List.</w:t>
      </w:r>
    </w:p>
    <w:p w:rsidR="00000000" w:rsidDel="00000000" w:rsidP="00000000" w:rsidRDefault="00000000" w:rsidRPr="00000000" w14:paraId="0000005D">
      <w:pPr>
        <w:pStyle w:val="Heading3"/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controllers son la entrada a la api. 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través de estos, el cliente interactúa con nuestra aplicación.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Aquí se define la firma de los servicios expuestos, lo que define los request, y las formas de respuestas que se darán, lo que define los response.</w:t>
      </w:r>
    </w:p>
    <w:p w:rsidR="00000000" w:rsidDel="00000000" w:rsidP="00000000" w:rsidRDefault="00000000" w:rsidRPr="00000000" w14:paraId="00000061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Resources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objetos resource son responsables de transportar la información en la capa api.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Tanto las peticiones como las respuestas se hacen mediante el uso de estos objetos.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La estructura de cada uno se define de acuerdo a las necesidades de cada endpoint.</w:t>
      </w:r>
    </w:p>
    <w:tbl>
      <w:tblPr>
        <w:tblStyle w:val="Table1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421890" cy="1631950"/>
                  <wp:effectExtent b="0" l="0" r="0" t="0"/>
                  <wp:docPr id="5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890" cy="163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jc w:val="left"/>
              <w:rPr>
                <w:vertAlign w:val="baseline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392680" cy="1739265"/>
                  <wp:effectExtent b="0" l="0" r="0" t="0"/>
                  <wp:docPr id="5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1739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este ejemplo se presenta el request para Create y Update, donde para el Update es  requerido el Id del objeto como argumento extra.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jc w:val="left"/>
              <w:rPr>
                <w:vertAlign w:val="baseline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920875" cy="1369695"/>
                  <wp:effectExtent b="0" l="0" r="0" t="0"/>
                  <wp:docPr id="5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875" cy="13696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990465" cy="1837690"/>
                  <wp:effectExtent b="0" l="0" r="0" t="0"/>
                  <wp:docPr id="5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465" cy="1837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este ejemplo se presenta el response para List y Read, donde para el response para List es más acotado, no incluyendo entidades relacionadas.</w:t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Validators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Aquí se realizan las validaciones sobre los objetos resource recibidos en request.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objetivo es asegurar la correctitud de la información recibida desde el cliente.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114300" distR="114300">
            <wp:extent cx="5730875" cy="2910205"/>
            <wp:effectExtent b="0" l="0" r="0" t="0"/>
            <wp:docPr id="5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10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El objeto request para la operación Create de Auto debe de contener la marca del vehículo, con un máximo de 50 caracteres y el identificador de su dueño debe ser incluido.</w:t>
      </w:r>
    </w:p>
    <w:p w:rsidR="00000000" w:rsidDel="00000000" w:rsidP="00000000" w:rsidRDefault="00000000" w:rsidRPr="00000000" w14:paraId="00000071">
      <w:pPr>
        <w:pStyle w:val="Heading2"/>
        <w:ind w:left="16" w:hanging="16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Related entities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Estas entidades no son más que entidades del tipo resource, asociadas al resource principal.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 modo de ejemplo, un response de Auto incluye la entidad relacionada Persona (su dueño).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0" distT="0" distL="114300" distR="114300">
            <wp:extent cx="2619375" cy="914400"/>
            <wp:effectExtent b="0" l="0" r="0" t="0"/>
            <wp:docPr id="6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1ksv4uv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Mapping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clase mapping se encarga de traspasar la información contenida en un objeto resource a un objeto model y visceversa.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capas siguientes en la solución manejan sus propios objetos de transporte de datos.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mapping se lleva a cabo mediante la utilización de la librería AutoMapper.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librería nos facilita este mapeado, copiando automáticamente los campos de nombres iguales (y tipos) de un objeto a otro.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todas maneras, es posible configurar mapeos personalizados.</w:t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1"/>
        </w:numPr>
        <w:ind w:left="432" w:hanging="432"/>
        <w:rPr>
          <w:rFonts w:ascii="Calibri" w:cs="Calibri" w:eastAsia="Calibri" w:hAnsi="Calibri"/>
        </w:rPr>
      </w:pPr>
      <w:bookmarkStart w:colFirst="0" w:colLast="0" w:name="_heading=h.44sinio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Core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El proyecto Core define las interfaces para los servicios y los repositorios a usarse en la Api, así como también los modelos con los que se trabajará.</w:t>
      </w:r>
    </w:p>
    <w:p w:rsidR="00000000" w:rsidDel="00000000" w:rsidP="00000000" w:rsidRDefault="00000000" w:rsidRPr="00000000" w14:paraId="0000007D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2jxsxqh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Models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Estos objetos se mapean con la tablas en base de datos, aunque puede existir excepciones y/o diferencias.</w:t>
      </w:r>
    </w:p>
    <w:tbl>
      <w:tblPr>
        <w:tblStyle w:val="Table3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893060" cy="1827530"/>
                  <wp:effectExtent b="0" l="0" r="0" t="0"/>
                  <wp:docPr id="5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060" cy="1827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5728970" cy="1555115"/>
                  <wp:effectExtent b="0" l="0" r="0" t="0"/>
                  <wp:docPr id="5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970" cy="1555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 entidad Persona tiene una colección de entidades Auto.</w:t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z337ya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Services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Estas interfaces definen las funcionalidades expuestas para cada entidad.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El comportamiento definido aquí es el comportamiento definido para la lógica del negocio.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Inicialmente, se definen las operaciones más genéricas para cada una de las entidades (CRUD).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0" distT="0" distL="114300" distR="114300">
            <wp:extent cx="5730240" cy="3877310"/>
            <wp:effectExtent b="0" l="0" r="0" t="0"/>
            <wp:docPr id="6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877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3j2qqm3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Repositories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Estas interfaces definen las operaciones para el acceso a base de datos.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Inicialmente, se definen las operaciones más genéricas para cada una de las entidades.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Todas las interfaces heredan de IRepository, por lo que se maneja de forma genérica en esta interface, el comportamiento definido para dichas interfaces.</w:t>
      </w:r>
    </w:p>
    <w:tbl>
      <w:tblPr>
        <w:tblStyle w:val="Table4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4504690" cy="1449070"/>
                  <wp:effectExtent b="0" l="0" r="0" t="0"/>
                  <wp:docPr id="6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690" cy="1449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5727065" cy="4138930"/>
                  <wp:effectExtent b="0" l="0" r="0" t="0"/>
                  <wp:docPr id="6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065" cy="4138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Inicialmente, el repositorio específico par la entidad Persona (y para todas las entidades), está vacío, estando la definición en la clase IRepository de la cual dicha entidad hereda.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5733415" cy="2286635"/>
                  <wp:effectExtent b="0" l="0" r="0" t="0"/>
                  <wp:docPr id="64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2286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requerir un acceso a datos particular para una entidad, la definición del mismo debería de </w:t>
            </w:r>
            <w:r w:rsidDel="00000000" w:rsidR="00000000" w:rsidRPr="00000000">
              <w:rPr>
                <w:rtl w:val="0"/>
              </w:rPr>
              <w:t xml:space="preserve">hacerse</w:t>
            </w:r>
            <w:r w:rsidDel="00000000" w:rsidR="00000000" w:rsidRPr="00000000">
              <w:rPr>
                <w:vertAlign w:val="baseline"/>
                <w:rtl w:val="0"/>
              </w:rPr>
              <w:t xml:space="preserve"> en la </w:t>
            </w:r>
            <w:r w:rsidDel="00000000" w:rsidR="00000000" w:rsidRPr="00000000">
              <w:rPr>
                <w:rtl w:val="0"/>
              </w:rPr>
              <w:t xml:space="preserve">interfaz</w:t>
            </w:r>
            <w:r w:rsidDel="00000000" w:rsidR="00000000" w:rsidRPr="00000000">
              <w:rPr>
                <w:vertAlign w:val="baseline"/>
                <w:rtl w:val="0"/>
              </w:rPr>
              <w:t xml:space="preserve"> propia de la entidad. Esto generalmente se da con consultas a la base de datos particulares.</w:t>
            </w:r>
          </w:p>
        </w:tc>
      </w:tr>
    </w:tbl>
    <w:p w:rsidR="00000000" w:rsidDel="00000000" w:rsidP="00000000" w:rsidRDefault="00000000" w:rsidRPr="00000000" w14:paraId="00000092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1y810tw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IUnitOfWork.cs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El patrón Unit of Work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resuelve el problema de las modificaciones en base de datos de varias entidades en forma atómica, sin la necesidad de trabajar con las transacciones de forma “manual”.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 el caso normal, para efectuar un cambio en base de datos que aplique a más de una entidad, y realizarlo en un solo paso (o no realizarlo), se debe de manejar transacciones, promoviendo esto el agregado de errores si no se realiza de manera correcta.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El patrón mencionado resuelve esto teniendo instancias de todos los repositorios involucrados, trabajando a través de un solo contexto, para finalizar impactando en base con el método SaveChanges (en Entity Framework) que ejecuta todas las operaciones en forma atómica.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 esta forma se logra la ejecución (o no) en un paso sin la necesidad de implementar transacciones.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En esta interfaz se definen los Repositorios que manejará nuestra unidad de trabajo y los métodos commit disponibles.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0" distT="0" distL="114300" distR="114300">
            <wp:extent cx="5727700" cy="3832225"/>
            <wp:effectExtent b="0" l="0" r="0" t="0"/>
            <wp:docPr id="6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En general, en nuestro caso, se utilizará el CommitAsync con parámetros, ya que la solución implementa un mecanismo de logueo de datos para las acciones que modifican la base de datos (Create, Update y Delete).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11"/>
        </w:numPr>
        <w:ind w:left="432" w:hanging="432"/>
        <w:rPr>
          <w:rFonts w:ascii="Calibri" w:cs="Calibri" w:eastAsia="Calibri" w:hAnsi="Calibri"/>
        </w:rPr>
      </w:pPr>
      <w:bookmarkStart w:colFirst="0" w:colLast="0" w:name="_heading=h.4i7ojhp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Services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 este proyecto es donde se implementa la lógica del sistema.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Cada clase implementa su interfaz correspondiente.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0" distT="0" distL="114300" distR="114300">
            <wp:extent cx="4838700" cy="7724775"/>
            <wp:effectExtent b="0" l="0" r="0" t="0"/>
            <wp:docPr id="6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El ejemplo muestra la clase AutoService, que inicialmente incluye los accesos a datos más genéricos.</w:t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11"/>
        </w:numPr>
        <w:ind w:left="432" w:hanging="432"/>
        <w:rPr>
          <w:rFonts w:ascii="Calibri" w:cs="Calibri" w:eastAsia="Calibri" w:hAnsi="Calibri"/>
        </w:rPr>
      </w:pPr>
      <w:bookmarkStart w:colFirst="0" w:colLast="0" w:name="_heading=h.2xcytpi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Data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 este proyecto se implementa el acceso a datos.</w:t>
      </w:r>
    </w:p>
    <w:p w:rsidR="00000000" w:rsidDel="00000000" w:rsidP="00000000" w:rsidRDefault="00000000" w:rsidRPr="00000000" w14:paraId="000000A2">
      <w:pPr>
        <w:pStyle w:val="Heading2"/>
        <w:ind w:firstLine="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Repositories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Son las entidades encargadas de manejar el acceso a datos para cada tipo.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Todos los repositorios heredan análogamente a sus interfaces de Repository.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0" distT="0" distL="114300" distR="114300">
            <wp:extent cx="5725795" cy="4736465"/>
            <wp:effectExtent b="0" l="0" r="0" t="0"/>
            <wp:docPr id="6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736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El único método que implementan es el GetFullIdAsync, ya que es particular a cada tipo de clase.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Los métodos restantes, una vez más, análogo a su interfaz                                                                                                                                                                                                                                             +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, son implementados en la clase Repository de la cual heredan.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0" distT="0" distL="114300" distR="114300">
            <wp:extent cx="4657725" cy="7172325"/>
            <wp:effectExtent b="0" l="0" r="0" t="0"/>
            <wp:docPr id="6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17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3whwml4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Configurations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Estas configuraciones son las responsables de mapear las clases del Model a la base de datos.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0" distT="0" distL="114300" distR="114300">
            <wp:extent cx="5729605" cy="4598670"/>
            <wp:effectExtent b="0" l="0" r="0" t="0"/>
            <wp:docPr id="4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598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 el ejmplo se puede ver el mapeo de los atributos a los campos, así como las relaciones con otras tablas.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2bn6wsx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UnitOfWork.cs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 esta clase se implementa la interface IUnitOfWork.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Aquí se definen los repositorios concretos que se incluirán, se define el contexto y se implementan los commit.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0" distT="0" distL="114300" distR="114300">
            <wp:extent cx="5732780" cy="5093335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093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qsh70q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DbContext.cs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Aquí se implementa el contexto a ser usado.</w:t>
      </w:r>
    </w:p>
    <w:p w:rsidR="00000000" w:rsidDel="00000000" w:rsidP="00000000" w:rsidRDefault="00000000" w:rsidRPr="00000000" w14:paraId="000000B5">
      <w:pPr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Básicamente se definen los set de entidades/tablas y se los instancias aplicandoles las configuraciones mencionadas en un capítulo anterior.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0" distT="0" distL="114300" distR="114300">
            <wp:extent cx="5728335" cy="6490970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649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numPr>
          <w:ilvl w:val="0"/>
          <w:numId w:val="11"/>
        </w:numPr>
        <w:ind w:left="432" w:hanging="432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Anexo A - Authorize con Swagger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La Api utiliza JWT para resolver la authorization en el sistema.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 esta manera, realizando un request a través del endpoin Api/Auth, obtendremos el token que nos habilita a acceder a endpoints no accesibles de forma anonima.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0" distT="0" distL="114300" distR="114300">
            <wp:extent cx="5730875" cy="3382645"/>
            <wp:effectExtent b="0" l="0" r="0" t="0"/>
            <wp:docPr id="4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38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Seleccionando Try it out, ingresando los datos requeridos en formato json y luego dando click en el botón execute, obtendremos (si las credenciales son correctas) el token buscado.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0" distT="0" distL="114300" distR="114300">
            <wp:extent cx="5732145" cy="796925"/>
            <wp:effectExtent b="0" l="0" r="0" t="0"/>
            <wp:docPr id="4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Nos dirigimos ahora a Authorize, en la parte superior derecha de la pantalla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0" distT="0" distL="114300" distR="114300">
            <wp:extent cx="5721985" cy="1163320"/>
            <wp:effectExtent b="0" l="0" r="0" t="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16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 seleccionar el botón, se despliega un formulario con instrucciones a seguir para cumplir con la autorización.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0" distT="0" distL="114300" distR="114300">
            <wp:extent cx="5729605" cy="3601720"/>
            <wp:effectExtent b="0" l="0" r="0" t="0"/>
            <wp:docPr id="4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60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 el campo de text Value debemos de tipear BEARER y a continuación pegar el token obtenido.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BEARER  yJhbGciOiJIUzI1NiIsInR5cCI6IkpXVCJ9.eyJzdWIiOiJ1c2VyQGV4YW1wbGUuY29tIiwian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Luego selecionamos Authorize y procedemos a cerrar el formulario.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Ya estamos en condiciones de acceder a los endpoints de la Api</w:t>
      </w:r>
    </w:p>
    <w:p w:rsidR="00000000" w:rsidDel="00000000" w:rsidP="00000000" w:rsidRDefault="00000000" w:rsidRPr="00000000" w14:paraId="000000C7">
      <w:pPr>
        <w:pStyle w:val="Heading1"/>
        <w:numPr>
          <w:ilvl w:val="0"/>
          <w:numId w:val="11"/>
        </w:numPr>
        <w:ind w:left="432" w:hanging="432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Anexo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Creación/Eliminación de un campo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esta sección se detalla el proceso de eliminación de un campo.</w:t>
      </w:r>
    </w:p>
    <w:p w:rsidR="00000000" w:rsidDel="00000000" w:rsidP="00000000" w:rsidRDefault="00000000" w:rsidRPr="00000000" w14:paraId="000000C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escenario que se presenta, es que un campo agregado anteriormente, se entiende ahora que ya no es necesario y debemos eliminarlo. </w:t>
      </w:r>
    </w:p>
    <w:p w:rsidR="00000000" w:rsidDel="00000000" w:rsidP="00000000" w:rsidRDefault="00000000" w:rsidRPr="00000000" w14:paraId="000000C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 eliminarlo, nos referimos a quitarlo de todas las capas de la aplicación y de la base de datos.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ejemplo es análogo para la creación de un campo.</w:t>
      </w:r>
    </w:p>
    <w:p w:rsidR="00000000" w:rsidDel="00000000" w:rsidP="00000000" w:rsidRDefault="00000000" w:rsidRPr="00000000" w14:paraId="000000CC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1pxezwc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Tarea propuesta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THRCA-314 - Remove old unused columns from Services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Description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Column content1 on services are no longer valid. They have to be removed</w:t>
      </w:r>
    </w:p>
    <w:p w:rsidR="00000000" w:rsidDel="00000000" w:rsidP="00000000" w:rsidRDefault="00000000" w:rsidRPr="00000000" w14:paraId="000000D0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49x2ik5" w:id="29"/>
      <w:bookmarkEnd w:id="29"/>
      <w:r w:rsidDel="00000000" w:rsidR="00000000" w:rsidRPr="00000000">
        <w:rPr>
          <w:rFonts w:ascii="Calibri" w:cs="Calibri" w:eastAsia="Calibri" w:hAnsi="Calibri"/>
          <w:rtl w:val="0"/>
        </w:rPr>
        <w:t xml:space="preserve">Api.Resource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los objetos resources relacionados con el objeto Service del Model, de la capa Core, se elimina el atributo Content1.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las clases 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ServiceResourceCreateUpdateRequest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ServiceResourceResponse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elimina el atributo 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public virtual String Content1 { get; set; }</w:t>
      </w:r>
    </w:p>
    <w:p w:rsidR="00000000" w:rsidDel="00000000" w:rsidP="00000000" w:rsidRDefault="00000000" w:rsidRPr="00000000" w14:paraId="000000D7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2p2csry" w:id="30"/>
      <w:bookmarkEnd w:id="30"/>
      <w:r w:rsidDel="00000000" w:rsidR="00000000" w:rsidRPr="00000000">
        <w:rPr>
          <w:rFonts w:ascii="Calibri" w:cs="Calibri" w:eastAsia="Calibri" w:hAnsi="Calibri"/>
          <w:rtl w:val="0"/>
        </w:rPr>
        <w:t xml:space="preserve">Api.Validations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elimina la validación relacionada con el campo Content1 en la clase ServiceCreateUpdateRequestValidator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RuleFor(m =&gt; m.Content1).MaximumLength(250);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147n2zr" w:id="31"/>
      <w:bookmarkEnd w:id="31"/>
      <w:r w:rsidDel="00000000" w:rsidR="00000000" w:rsidRPr="00000000">
        <w:rPr>
          <w:rFonts w:ascii="Calibri" w:cs="Calibri" w:eastAsia="Calibri" w:hAnsi="Calibri"/>
          <w:rtl w:val="0"/>
        </w:rPr>
        <w:t xml:space="preserve">Core.Models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 clase Service, eliminamos el atributo de Content1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public virtual String Content1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3o7alnk" w:id="32"/>
      <w:bookmarkEnd w:id="32"/>
      <w:r w:rsidDel="00000000" w:rsidR="00000000" w:rsidRPr="00000000">
        <w:rPr>
          <w:rFonts w:ascii="Calibri" w:cs="Calibri" w:eastAsia="Calibri" w:hAnsi="Calibri"/>
          <w:rtl w:val="0"/>
        </w:rPr>
        <w:t xml:space="preserve">Data.Configurations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 clase ServiceConfiguration eliminamos la configuración relacionada con la el campo Content1.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builder.Property(service =&gt; service.Content1).HasMaxLength(250);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23ckvvd" w:id="33"/>
      <w:bookmarkEnd w:id="33"/>
      <w:r w:rsidDel="00000000" w:rsidR="00000000" w:rsidRPr="00000000">
        <w:rPr>
          <w:rFonts w:ascii="Calibri" w:cs="Calibri" w:eastAsia="Calibri" w:hAnsi="Calibri"/>
          <w:rtl w:val="0"/>
        </w:rPr>
        <w:t xml:space="preserve">Services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 clase ServiceService, eliminamos del método Update, la línea relacionada con el campo Content1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serviceToBeUpdated.Content1 = service.Content1;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ind w:left="16" w:hanging="16"/>
        <w:rPr>
          <w:rFonts w:ascii="Calibri" w:cs="Calibri" w:eastAsia="Calibri" w:hAnsi="Calibri"/>
        </w:rPr>
      </w:pPr>
      <w:bookmarkStart w:colFirst="0" w:colLast="0" w:name="_heading=h.ihv636" w:id="34"/>
      <w:bookmarkEnd w:id="34"/>
      <w:r w:rsidDel="00000000" w:rsidR="00000000" w:rsidRPr="00000000">
        <w:rPr>
          <w:rFonts w:ascii="Calibri" w:cs="Calibri" w:eastAsia="Calibri" w:hAnsi="Calibri"/>
          <w:rtl w:val="0"/>
        </w:rPr>
        <w:t xml:space="preserve">Migrations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generan las migrations que definen los cambios en la base.</w:t>
      </w:r>
    </w:p>
    <w:p w:rsidR="00000000" w:rsidDel="00000000" w:rsidP="00000000" w:rsidRDefault="00000000" w:rsidRPr="00000000" w14:paraId="000000E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 carpeta de la solución (archivo .sln)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dotnet ef --startup-project Api/ migrations add RemoveServiceContent1 -p Data/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vez completado el proceso, en la carpeta migrations del proyecto Data, deberíamos de encontrar un nuevo archivo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20200822185535_RemoveServiceContent1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contenido del archivo, debería contener las instrucciones necesarias para eliminar la columna referida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spacing w:after="8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spacing w:after="8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protected override void Up(MigrationBuilder migrationBuilder)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spacing w:after="8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spacing w:after="8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migrationBuilder.DropColumn(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spacing w:after="8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name: "Content1",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spacing w:after="8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table: "Service");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spacing w:after="8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spacing w:after="8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spacing w:after="80" w:line="240" w:lineRule="auto"/>
        <w:ind w:left="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protected override void Down(MigrationBuilder migrationBuilder)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spacing w:after="8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spacing w:after="8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migrationBuilder.AddColumn&lt;string&gt;(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spacing w:after="8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name: "Content1",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spacing w:after="8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table: "Service",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spacing w:after="8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type: "nvarchar(250)",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spacing w:after="8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maxLength: 250,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spacing w:after="8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nullable: true);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spacing w:after="8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spacing w:after="80"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método Up es ejecutado cuando se corre la migration y el método Down es ejecutado cuando se vuelve atrás esta.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actualizar la base de datos, a través de la migration recientemente creada ,desde la misma ubicación que ejecutamos la sentencia para crearla ejecutamos </w:t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dotnet ef --startup-project Api/ database update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14.39999999999999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vez finalizado el proceso la base de datos debería haber sido afectada con la eliminación de la columna Content1 en la tabla Service.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numPr>
          <w:ilvl w:val="0"/>
          <w:numId w:val="11"/>
        </w:numPr>
        <w:ind w:left="432" w:hanging="432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  <w:t xml:space="preserve">Versionado</w:t>
      </w:r>
      <w:r w:rsidDel="00000000" w:rsidR="00000000" w:rsidRPr="00000000">
        <w:rPr>
          <w:rtl w:val="0"/>
        </w:rPr>
      </w:r>
    </w:p>
    <w:tbl>
      <w:tblPr>
        <w:tblStyle w:val="Table6"/>
        <w:tblW w:w="92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8"/>
        <w:gridCol w:w="2983"/>
        <w:gridCol w:w="3647"/>
        <w:gridCol w:w="975"/>
        <w:tblGridChange w:id="0">
          <w:tblGrid>
            <w:gridCol w:w="1638"/>
            <w:gridCol w:w="2983"/>
            <w:gridCol w:w="3647"/>
            <w:gridCol w:w="975"/>
          </w:tblGrid>
        </w:tblGridChange>
      </w:tblGrid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Comentario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Versión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19/08/2020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>
                <w:vertAlign w:val="baseline"/>
              </w:rPr>
            </w:pPr>
            <w:bookmarkStart w:colFirst="0" w:colLast="0" w:name="_heading=h.32hioqz" w:id="35"/>
            <w:bookmarkEnd w:id="35"/>
            <w:r w:rsidDel="00000000" w:rsidR="00000000" w:rsidRPr="00000000">
              <w:rPr>
                <w:vertAlign w:val="baseline"/>
                <w:rtl w:val="0"/>
              </w:rPr>
              <w:t xml:space="preserve">Neri Custodio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23/09/2020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Neri Custodio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Completado del total de puntos definidos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23/09/2020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Marcelo Bendahan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24/09/2020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Neri Custodio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Agregado de integración con Swagger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37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tabs>
        <w:tab w:val="center" w:pos="4513"/>
        <w:tab w:val="right" w:pos="9026"/>
      </w:tabs>
      <w:spacing w:after="0" w:lineRule="auto"/>
      <w:jc w:val="right"/>
      <w:rPr/>
    </w:pPr>
    <w:r w:rsidDel="00000000" w:rsidR="00000000" w:rsidRPr="00000000">
      <w:rPr>
        <w:rtl w:val="0"/>
      </w:rPr>
    </w:r>
  </w:p>
  <w:tbl>
    <w:tblPr>
      <w:tblStyle w:val="Table7"/>
      <w:tblW w:w="9030.0" w:type="dxa"/>
      <w:jc w:val="right"/>
      <w:tblLayout w:type="fixed"/>
      <w:tblLook w:val="0000"/>
    </w:tblPr>
    <w:tblGrid>
      <w:gridCol w:w="8415"/>
      <w:gridCol w:w="615"/>
      <w:tblGridChange w:id="0">
        <w:tblGrid>
          <w:gridCol w:w="8415"/>
          <w:gridCol w:w="615"/>
        </w:tblGrid>
      </w:tblGridChange>
    </w:tblGrid>
    <w:tr>
      <w:trPr>
        <w:trHeight w:val="480" w:hRule="atLeast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11F">
          <w:pPr>
            <w:tabs>
              <w:tab w:val="center" w:pos="4513"/>
              <w:tab w:val="right" w:pos="9026"/>
            </w:tabs>
            <w:spacing w:after="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0">
          <w:pPr>
            <w:tabs>
              <w:tab w:val="center" w:pos="4513"/>
              <w:tab w:val="right" w:pos="9026"/>
            </w:tabs>
            <w:spacing w:after="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1">
          <w:pPr>
            <w:tabs>
              <w:tab w:val="center" w:pos="4513"/>
              <w:tab w:val="right" w:pos="9026"/>
            </w:tabs>
            <w:spacing w:after="0" w:lineRule="auto"/>
            <w:rPr>
              <w:rFonts w:ascii="Calibri" w:cs="Calibri" w:eastAsia="Calibri" w:hAnsi="Calibri"/>
              <w:color w:val="e69138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color w:val="e69138"/>
              <w:sz w:val="18"/>
              <w:szCs w:val="18"/>
              <w:rtl w:val="0"/>
            </w:rPr>
            <w:t xml:space="preserve">Switch Software Solutions</w:t>
          </w:r>
        </w:p>
        <w:p w:rsidR="00000000" w:rsidDel="00000000" w:rsidP="00000000" w:rsidRDefault="00000000" w:rsidRPr="00000000" w14:paraId="00000122">
          <w:pPr>
            <w:tabs>
              <w:tab w:val="center" w:pos="4513"/>
              <w:tab w:val="right" w:pos="9026"/>
            </w:tabs>
            <w:spacing w:after="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Agr. Francisco Ros 2780 |Montevideo, Uruguay, 11300</w:t>
          </w:r>
        </w:p>
        <w:p w:rsidR="00000000" w:rsidDel="00000000" w:rsidP="00000000" w:rsidRDefault="00000000" w:rsidRPr="00000000" w14:paraId="00000123">
          <w:pPr>
            <w:tabs>
              <w:tab w:val="center" w:pos="4513"/>
              <w:tab w:val="right" w:pos="9026"/>
            </w:tabs>
            <w:spacing w:after="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50 South Main Street, Suite 200 | Naperville, IL 60540, United States</w:t>
            <w:br w:type="textWrapping"/>
            <w:t xml:space="preserve">5610 Ward Rd #300 | Arvada, CO 80002, United States </w:t>
          </w:r>
        </w:p>
      </w:tc>
      <w:tc>
        <w:tcPr>
          <w:shd w:fill="efefef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124">
          <w:pPr>
            <w:tabs>
              <w:tab w:val="center" w:pos="4513"/>
              <w:tab w:val="right" w:pos="9026"/>
            </w:tabs>
            <w:spacing w:after="40" w:before="40" w:line="36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-50799</wp:posOffset>
                    </wp:positionH>
                    <wp:positionV relativeFrom="paragraph">
                      <wp:posOffset>-63499</wp:posOffset>
                    </wp:positionV>
                    <wp:extent cx="502920" cy="96520"/>
                    <wp:effectExtent b="0" l="0" r="0" t="0"/>
                    <wp:wrapSquare wrapText="bothSides" distB="0" distT="0" distL="0" distR="0"/>
                    <wp:docPr id="41" name=""/>
                    <a:graphic>
                      <a:graphicData uri="http://schemas.microsoft.com/office/word/2010/wordprocessingShape">
                        <wps:wsp>
                          <wps:cNvSpPr/>
                          <wps:cNvPr id="4" name="Shape 4"/>
                          <wps:spPr>
                            <a:xfrm>
                              <a:off x="5104440" y="3741660"/>
                              <a:ext cx="483120" cy="76680"/>
                            </a:xfrm>
                            <a:prstGeom prst="rect">
                              <a:avLst/>
                            </a:prstGeom>
                            <a:solidFill>
                              <a:srgbClr val="F1A00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-50799</wp:posOffset>
                    </wp:positionH>
                    <wp:positionV relativeFrom="paragraph">
                      <wp:posOffset>-63499</wp:posOffset>
                    </wp:positionV>
                    <wp:extent cx="502920" cy="96520"/>
                    <wp:effectExtent b="0" l="0" r="0" t="0"/>
                    <wp:wrapSquare wrapText="bothSides" distB="0" distT="0" distL="0" distR="0"/>
                    <wp:docPr id="41" name="image28.png"/>
                    <a:graphic>
                      <a:graphicData uri="http://schemas.openxmlformats.org/drawingml/2006/picture">
                        <pic:pic>
                          <pic:nvPicPr>
                            <pic:cNvPr id="0" name="image28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02920" cy="965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125">
          <w:pPr>
            <w:tabs>
              <w:tab w:val="center" w:pos="4513"/>
              <w:tab w:val="right" w:pos="9026"/>
            </w:tabs>
            <w:spacing w:after="40" w:before="40" w:line="36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1A">
      <w:pPr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rFonts w:ascii="Calibri" w:cs="Calibri" w:eastAsia="Calibri" w:hAnsi="Calibri"/>
            <w:color w:val="1155cc"/>
            <w:sz w:val="16"/>
            <w:szCs w:val="16"/>
            <w:u w:val="single"/>
            <w:rtl w:val="0"/>
          </w:rPr>
          <w:t xml:space="preserve">https://docs.microsoft.com/en-us/aspnet/core/fundamentals/environments?view=aspnetcore-3.1</w:t>
        </w:r>
      </w:hyperlink>
      <w:r w:rsidDel="00000000" w:rsidR="00000000" w:rsidRPr="00000000">
        <w:fldChar w:fldCharType="begin"/>
        <w:instrText xml:space="preserve"> HYPERLINK "https://docs.microsoft.com/en-us/aspnet/core/fundamentals/environments?view=aspnetcore-3.1"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 https://www.c-sharpcorner.com/UploadFile/b1df45/unit-of-work-in-repository-pattern/#:~:text=Unit%20of%20Work%20is%20referred,implementation%20of%20the%20Repository%20Pattern.</w:t>
      </w:r>
    </w:p>
  </w:footnote>
  <w:footnote w:id="2"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 https://www.entityframeworktutorial.net/efcore/fluent-api-in-entity-framework-core.aspx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 "/>
      <w:lvlJc w:val="left"/>
      <w:pPr>
        <w:ind w:left="432" w:hanging="432"/>
      </w:pPr>
      <w:rPr>
        <w:rFonts w:ascii="Calibri" w:cs="Calibri" w:eastAsia="Calibri" w:hAnsi="Calibri"/>
        <w:b w:val="0"/>
        <w:color w:val="f1a00f"/>
      </w:rPr>
    </w:lvl>
    <w:lvl w:ilvl="1">
      <w:start w:val="1"/>
      <w:numFmt w:val="decimal"/>
      <w:lvlText w:val="%1.%2 "/>
      <w:lvlJc w:val="left"/>
      <w:pPr>
        <w:ind w:left="576" w:hanging="576"/>
      </w:pPr>
      <w:rPr>
        <w:rFonts w:ascii="Montserrat" w:cs="Montserrat" w:eastAsia="Montserrat" w:hAnsi="Montserrat"/>
        <w:b w:val="0"/>
        <w:color w:val="f1a00f"/>
        <w:sz w:val="32"/>
        <w:szCs w:val="32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color w:val="666666"/>
      </w:rPr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808080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  <w:ind w:left="425" w:hanging="283"/>
      <w:jc w:val="both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500" w:line="276" w:lineRule="auto"/>
      <w:ind w:left="0"/>
    </w:pPr>
    <w:rPr>
      <w:color w:val="f0a43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/>
    </w:pPr>
    <w:rPr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after="200"/>
    </w:pPr>
    <w:rPr>
      <w:rFonts w:ascii="Calibri" w:cs="Montserrat" w:eastAsia="Montserrat" w:hAnsi="Calibri"/>
      <w:color w:val="808080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before="480" w:line="276" w:lineRule="auto"/>
      <w:ind w:left="425" w:hanging="283"/>
      <w:jc w:val="both"/>
    </w:pPr>
    <w:rPr>
      <w:sz w:val="36"/>
      <w:szCs w:val="36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before="500" w:line="276" w:lineRule="auto"/>
      <w:ind w:left="0"/>
      <w:outlineLvl w:val="1"/>
    </w:pPr>
    <w:rPr>
      <w:color w:val="f0a43c"/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320"/>
      <w:ind w:left="720"/>
    </w:pPr>
    <w:rPr>
      <w:color w:val="666666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character" w:styleId="16" w:default="1">
    <w:name w:val="Default Paragraph Font"/>
    <w:uiPriority w:val="0"/>
    <w:semiHidden w:val="1"/>
  </w:style>
  <w:style w:type="table" w:styleId="1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bidi="ar" w:eastAsia="zh-CN" w:val="en-US"/>
    </w:rPr>
  </w:style>
  <w:style w:type="paragraph" w:styleId="11">
    <w:name w:val="Subtitle"/>
    <w:basedOn w:val="1"/>
    <w:next w:val="1"/>
    <w:uiPriority w:val="0"/>
    <w:pPr>
      <w:keepNext w:val="1"/>
      <w:keepLines w:val="1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 w:val="1"/>
      <w:keepLines w:val="1"/>
      <w:spacing w:after="60" w:before="0"/>
    </w:pPr>
    <w:rPr>
      <w:sz w:val="52"/>
      <w:szCs w:val="52"/>
    </w:rPr>
  </w:style>
  <w:style w:type="paragraph" w:styleId="13">
    <w:name w:val="toc 1"/>
    <w:basedOn w:val="1"/>
    <w:next w:val="1"/>
    <w:uiPriority w:val="0"/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3"/>
    <w:basedOn w:val="1"/>
    <w:next w:val="1"/>
    <w:uiPriority w:val="0"/>
    <w:pPr>
      <w:ind w:left="840" w:leftChars="400"/>
    </w:pPr>
  </w:style>
  <w:style w:type="character" w:styleId="17">
    <w:name w:val="footnote reference"/>
    <w:basedOn w:val="16"/>
    <w:uiPriority w:val="0"/>
    <w:rPr>
      <w:vertAlign w:val="superscript"/>
    </w:rPr>
  </w:style>
  <w:style w:type="character" w:styleId="18">
    <w:name w:val="HTML Code"/>
    <w:basedOn w:val="16"/>
    <w:uiPriority w:val="0"/>
    <w:rPr>
      <w:rFonts w:ascii="Courier New" w:cs="Courier New" w:hAnsi="Courier New"/>
      <w:sz w:val="20"/>
      <w:szCs w:val="20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1" w:customStyle="1">
    <w:name w:val="Table Normal1"/>
    <w:uiPriority w:val="0"/>
  </w:style>
  <w:style w:type="table" w:styleId="22" w:customStyle="1">
    <w:name w:val="_Style 10"/>
    <w:basedOn w:val="21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2.png"/><Relationship Id="rId21" Type="http://schemas.openxmlformats.org/officeDocument/2006/relationships/image" Target="media/image3.png"/><Relationship Id="rId24" Type="http://schemas.openxmlformats.org/officeDocument/2006/relationships/image" Target="media/image21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4.png"/><Relationship Id="rId26" Type="http://schemas.openxmlformats.org/officeDocument/2006/relationships/image" Target="media/image26.png"/><Relationship Id="rId25" Type="http://schemas.openxmlformats.org/officeDocument/2006/relationships/image" Target="media/image29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27.png"/><Relationship Id="rId7" Type="http://schemas.openxmlformats.org/officeDocument/2006/relationships/customXml" Target="../customXML/item1.xml"/><Relationship Id="rId8" Type="http://schemas.openxmlformats.org/officeDocument/2006/relationships/image" Target="media/image23.png"/><Relationship Id="rId31" Type="http://schemas.openxmlformats.org/officeDocument/2006/relationships/image" Target="media/image6.png"/><Relationship Id="rId30" Type="http://schemas.openxmlformats.org/officeDocument/2006/relationships/image" Target="media/image13.png"/><Relationship Id="rId11" Type="http://schemas.openxmlformats.org/officeDocument/2006/relationships/image" Target="media/image10.png"/><Relationship Id="rId33" Type="http://schemas.openxmlformats.org/officeDocument/2006/relationships/image" Target="media/image17.png"/><Relationship Id="rId10" Type="http://schemas.openxmlformats.org/officeDocument/2006/relationships/image" Target="media/image20.png"/><Relationship Id="rId32" Type="http://schemas.openxmlformats.org/officeDocument/2006/relationships/image" Target="media/image5.png"/><Relationship Id="rId13" Type="http://schemas.openxmlformats.org/officeDocument/2006/relationships/image" Target="media/image30.png"/><Relationship Id="rId35" Type="http://schemas.openxmlformats.org/officeDocument/2006/relationships/image" Target="media/image1.png"/><Relationship Id="rId12" Type="http://schemas.openxmlformats.org/officeDocument/2006/relationships/image" Target="media/image8.png"/><Relationship Id="rId34" Type="http://schemas.openxmlformats.org/officeDocument/2006/relationships/image" Target="media/image9.png"/><Relationship Id="rId15" Type="http://schemas.openxmlformats.org/officeDocument/2006/relationships/image" Target="media/image7.png"/><Relationship Id="rId37" Type="http://schemas.openxmlformats.org/officeDocument/2006/relationships/footer" Target="footer1.xml"/><Relationship Id="rId14" Type="http://schemas.openxmlformats.org/officeDocument/2006/relationships/image" Target="media/image16.png"/><Relationship Id="rId36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19" Type="http://schemas.openxmlformats.org/officeDocument/2006/relationships/image" Target="media/image18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microsoft.com/en-us/aspnet/core/fundamentals/environments?view=aspnetcore-3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EwFUhnZp4CuOWVKHUiL+t4tFLQ==">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2020-09-23T16:29:46Z</dcterms:created>
  <dc:creator>ncustodio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