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0"/>
        <w:jc w:val="center"/>
      </w:pPr>
      <w:r>
        <w:rPr>
          <w:rFonts w:ascii="Times New Roman" w:cs="Times New Roman" w:eastAsia="Times New Roman" w:hAnsi="Times New Roman"/>
          <w:b/>
          <w:bCs/>
          <w:sz w:val="32"/>
          <w:szCs w:val="32"/>
        </w:rPr>
        <w:t xml:space="preserve">CHAPTER TWO</w:t>
      </w:r>
    </w:p>
    <w:p>
      <w:pPr>
        <w:spacing w:after="480"/>
        <w:jc w:val="center"/>
      </w:pPr>
      <w:r>
        <w:rPr>
          <w:rFonts w:ascii="Times New Roman" w:cs="Times New Roman" w:eastAsia="Times New Roman" w:hAnsi="Times New Roman"/>
          <w:b/>
          <w:bCs/>
          <w:sz w:val="32"/>
          <w:szCs w:val="32"/>
        </w:rPr>
        <w:t xml:space="preserve">LITERATURE REVIEW</w:t>
      </w:r>
    </w:p>
    <w:p>
      <w:pPr>
        <w:spacing w:after="240" w:before="360" w:line="480" w:lineRule="auto"/>
        <w:jc w:val="left"/>
      </w:pPr>
      <w:r>
        <w:rPr>
          <w:rFonts w:ascii="Times New Roman" w:cs="Times New Roman" w:eastAsia="Times New Roman" w:hAnsi="Times New Roman"/>
          <w:b/>
          <w:bCs/>
          <w:sz w:val="28"/>
          <w:szCs w:val="28"/>
        </w:rPr>
        <w:t xml:space="preserve">2.1 Conceptual Review</w:t>
      </w:r>
    </w:p>
    <w:p>
      <w:pPr>
        <w:spacing w:after="0" w:line="480" w:lineRule="auto"/>
        <w:ind w:firstLine="720"/>
        <w:jc w:val="both"/>
      </w:pPr>
      <w:r>
        <w:rPr>
          <w:rFonts w:ascii="Times New Roman" w:cs="Times New Roman" w:eastAsia="Times New Roman" w:hAnsi="Times New Roman"/>
          <w:sz w:val="24"/>
          <w:szCs w:val="24"/>
        </w:rPr>
        <w:t xml:space="preserve">This section defines the core concepts on which the study rests. A Recommendation System (RS) is a computational technique that filters through large volumes of data, such as candidate profiles, and decides which results to present to a user; Ko et al. (2022), in a broad survey of recommendation techniques and application fields, characterise this filtering as spanning content-based, collaborative, and hybrid model families, of which recruitment-ranking systems form one significant application area. In recruitment, this typically means ranking candidates for a recruiter or ranking job openings for a candidate. An Applicant Tracking System (ATS) is the broader class of software used by employers to collect, sort, scan, and rank job applications automatically; Roy et al. (2020) demonstrate one representative implementation, a machine-learning pipeline that automates resume recommendation by matching parsed CV content against job requirements. Algorithmic bias refers to the systematic and repeatable errors in a computer system that create unfair outcomes, typically by encoding patterns present in historical training data; Akter et al. (2022) demonstrate that such bias is not merely reproduced but actively amplified when models are trained on unequal or incomplete data.</w:t>
      </w:r>
    </w:p>
    <w:p>
      <w:pPr>
        <w:spacing w:after="0" w:line="480" w:lineRule="auto"/>
        <w:ind w:firstLine="720"/>
        <w:jc w:val="both"/>
      </w:pPr>
      <w:r>
        <w:rPr>
          <w:rFonts w:ascii="Times New Roman" w:cs="Times New Roman" w:eastAsia="Times New Roman" w:hAnsi="Times New Roman"/>
          <w:sz w:val="24"/>
          <w:szCs w:val="24"/>
        </w:rPr>
        <w:t xml:space="preserve">Telemigration, understood as working for a foreign employer through digital platforms without physical relocation, is the broader economic phenomenon that makes global technology recruitment relevant to African professionals in the first place; Iyoha et al. (2025) situate this phenomenon within the growth of African financial-technology infrastructure, which is progressively reducing the cross-border payment friction that would otherwise constrain such arrangements. Competency-based evaluation is an assessment approach that ranks candidates according to demonstrated ability rather than formal qualification alone, a principle reflected in Berhe et al.'s (2026) proposal to reward measured skill evolution over static credentials; in the present study this is operationalised through the Evidence Score (E_s), a weighted composite combining semantic project similarity, GitHub activity, community standing, and learning trajectory. Semantic similarity, the computational measure of how closely two pieces of text express the same meaning regardless of exact wording, is made practical at scale by transformer-based language models such as RoBERTa (Liu et al., 2020); Thakur et al. (2021) provide a heterogeneous benchmark, BEIR, demonstrating that such embedding-based models generalise well to zero-shot retrieval and similarity tasks outside the domain on which they were originally trained, a property directly relevant to comparing candidate evidence against previously unseen job descriptions. Finally, GitHub activity as an informal credential refers to the use of a developer's public repository history, commits, and collaboration record as evidence of skill; Liang et al. (2022a) were among the first to study this systematically at scale, finding that GitHub activity signals a far richer, empirically grounded skill profile, spanning 45 distinct technical, interpersonal, and project-management competencies, than a self-reported skills list on a CV.</w:t>
      </w:r>
    </w:p>
    <w:p>
      <w:pPr>
        <w:spacing w:after="240" w:before="360" w:line="480" w:lineRule="auto"/>
        <w:jc w:val="left"/>
      </w:pPr>
      <w:r>
        <w:rPr>
          <w:rFonts w:ascii="Times New Roman" w:cs="Times New Roman" w:eastAsia="Times New Roman" w:hAnsi="Times New Roman"/>
          <w:b/>
          <w:bCs/>
          <w:sz w:val="28"/>
          <w:szCs w:val="28"/>
        </w:rPr>
        <w:t xml:space="preserve">2.2 Theoretical Review</w:t>
      </w:r>
    </w:p>
    <w:p>
      <w:pPr>
        <w:spacing w:after="180" w:before="240" w:line="480" w:lineRule="auto"/>
        <w:jc w:val="left"/>
      </w:pPr>
      <w:r>
        <w:rPr>
          <w:rFonts w:ascii="Times New Roman" w:cs="Times New Roman" w:eastAsia="Times New Roman" w:hAnsi="Times New Roman"/>
          <w:b/>
          <w:bCs/>
          <w:sz w:val="24"/>
          <w:szCs w:val="24"/>
        </w:rPr>
        <w:t xml:space="preserve">2.2.1 Signalling Theory and Activity Traces</w:t>
      </w:r>
    </w:p>
    <w:p>
      <w:pPr>
        <w:spacing w:after="0" w:line="480" w:lineRule="auto"/>
        <w:ind w:firstLine="720"/>
        <w:jc w:val="both"/>
      </w:pPr>
      <w:r>
        <w:rPr>
          <w:rFonts w:ascii="Times New Roman" w:cs="Times New Roman" w:eastAsia="Times New Roman" w:hAnsi="Times New Roman"/>
          <w:sz w:val="24"/>
          <w:szCs w:val="24"/>
        </w:rPr>
        <w:t xml:space="preserve">Signalling theory, applied to GitHub by Liang et al. (2022a) and further tested by Calefato et al. (2024), explains why platform activity functions as a credible signal of competency: because activity traces such as commit history, project ownership, and sustained contribution are costly to fabricate and comparatively easy for an evaluator to verify, they carry more informational value than self-reported claims. Calefato et al. (2024) add an important qualification: the reliability of a signal depends on whether it reflects a verifiable history of activity rather than a single qualifying action, which is why the present study's Competency Verification Badge requires corroboration across independent evidence sources rather than accepting any single platform-awarded mark at face value. This principle underlies the present study's decision to weight GitHub and community evidence independently of a candidate's formal narrative about their own skills.</w:t>
      </w:r>
    </w:p>
    <w:p>
      <w:pPr>
        <w:spacing w:after="180" w:before="240" w:line="480" w:lineRule="auto"/>
        <w:jc w:val="left"/>
      </w:pPr>
      <w:r>
        <w:rPr>
          <w:rFonts w:ascii="Times New Roman" w:cs="Times New Roman" w:eastAsia="Times New Roman" w:hAnsi="Times New Roman"/>
          <w:b/>
          <w:bCs/>
          <w:sz w:val="24"/>
          <w:szCs w:val="24"/>
        </w:rPr>
        <w:t xml:space="preserve">2.2.2 Algorithmic Gatekeeping</w:t>
      </w:r>
    </w:p>
    <w:p>
      <w:pPr>
        <w:spacing w:after="0" w:line="480" w:lineRule="auto"/>
        <w:ind w:firstLine="720"/>
        <w:jc w:val="both"/>
      </w:pPr>
      <w:r>
        <w:rPr>
          <w:rFonts w:ascii="Times New Roman" w:cs="Times New Roman" w:eastAsia="Times New Roman" w:hAnsi="Times New Roman"/>
          <w:sz w:val="24"/>
          <w:szCs w:val="24"/>
        </w:rPr>
        <w:t xml:space="preserve">Sánchez-Monedero et al. (2020) examine what it means to 'solve' discrimination in algorithmic hiring from social, technical, and legal perspectives simultaneously, concluding that a purely technical correction, however well engineered, cannot resolve a problem that is also structural and legal in nature; on their analysis, ranking systems function as gatekeepers that control access to opportunity through criteria that remain largely invisible to the people being evaluated. Chen et al. (2024), surveying fairness-aware graph neural networks, sharpen this concern for network-based ranking specifically: because such models aggregate information from a node's neighbours, professionals who are less connected to a platform's dominant network receive systematically lower relevance scores for reasons unrelated to their underlying skill. Both analyses point to the same theoretical limitation this study addresses: building fairness controls into a system a recruiter actively chooses to use, rather than depending on correction from within an opaque, platform-owned ranking infrastructure.</w:t>
      </w:r>
    </w:p>
    <w:p>
      <w:pPr>
        <w:spacing w:after="180" w:before="240" w:line="480" w:lineRule="auto"/>
        <w:jc w:val="left"/>
      </w:pPr>
      <w:r>
        <w:rPr>
          <w:rFonts w:ascii="Times New Roman" w:cs="Times New Roman" w:eastAsia="Times New Roman" w:hAnsi="Times New Roman"/>
          <w:b/>
          <w:bCs/>
          <w:sz w:val="24"/>
          <w:szCs w:val="24"/>
        </w:rPr>
        <w:t xml:space="preserve">2.2.3 Fairness-by-Design</w:t>
      </w:r>
    </w:p>
    <w:p>
      <w:pPr>
        <w:spacing w:after="0" w:line="480" w:lineRule="auto"/>
        <w:ind w:firstLine="720"/>
        <w:jc w:val="both"/>
      </w:pPr>
      <w:r>
        <w:rPr>
          <w:rFonts w:ascii="Times New Roman" w:cs="Times New Roman" w:eastAsia="Times New Roman" w:hAnsi="Times New Roman"/>
          <w:sz w:val="24"/>
          <w:szCs w:val="24"/>
        </w:rPr>
        <w:t xml:space="preserve">Agbasiere and Nze-Igwe (2025) argue that equitable treatment must be an engineering requirement built into a system from the start, rather than a correction applied after the fact. This principle directly motivates EquityEngine's architecture: formal credentials carry zero weight in the Evidence Score by default, rather than being weighted down only after bias is detected.</w:t>
      </w:r>
    </w:p>
    <w:p>
      <w:pPr>
        <w:spacing w:after="180" w:before="240" w:line="480" w:lineRule="auto"/>
        <w:jc w:val="left"/>
      </w:pPr>
      <w:r>
        <w:rPr>
          <w:rFonts w:ascii="Times New Roman" w:cs="Times New Roman" w:eastAsia="Times New Roman" w:hAnsi="Times New Roman"/>
          <w:b/>
          <w:bCs/>
          <w:sz w:val="24"/>
          <w:szCs w:val="24"/>
        </w:rPr>
        <w:t xml:space="preserve">2.2.4 Bias Amplification in Collaborative Filtering</w:t>
      </w:r>
    </w:p>
    <w:p>
      <w:pPr>
        <w:spacing w:after="0" w:line="480" w:lineRule="auto"/>
        <w:ind w:firstLine="720"/>
        <w:jc w:val="both"/>
      </w:pPr>
      <w:r>
        <w:rPr>
          <w:rFonts w:ascii="Times New Roman" w:cs="Times New Roman" w:eastAsia="Times New Roman" w:hAnsi="Times New Roman"/>
          <w:sz w:val="24"/>
          <w:szCs w:val="24"/>
        </w:rPr>
        <w:t xml:space="preserve">Barenji (2023) shows that collaborative filtering, the technique underlying most recommendation ranking, must contend with multiple, overlapping facets of bias simultaneously rather than a single source of unfairness, and that correcting for one facet in isolation frequently leaves others, including geographic and network-position bias, unaddressed. Pasipamire and Muroyiwa (2024) extend this into a specific feedback-loop theory for the African context: lower ranking produces less recruiter engagement, which produces less behavioural data, which produces even lower ranking. This theoretical mechanism is the direct justification for the Bias Audit Engine's continuous, rather than one-time, measurement of the Visibility Gap.</w:t>
      </w:r>
    </w:p>
    <w:p>
      <w:pPr>
        <w:spacing w:after="180" w:before="240" w:line="480" w:lineRule="auto"/>
        <w:jc w:val="left"/>
      </w:pPr>
      <w:r>
        <w:rPr>
          <w:rFonts w:ascii="Times New Roman" w:cs="Times New Roman" w:eastAsia="Times New Roman" w:hAnsi="Times New Roman"/>
          <w:b/>
          <w:bCs/>
          <w:sz w:val="24"/>
          <w:szCs w:val="24"/>
        </w:rPr>
        <w:t xml:space="preserve">2.2.5 Explainability and Trust in Recommendation</w:t>
      </w:r>
    </w:p>
    <w:p>
      <w:pPr>
        <w:spacing w:after="0" w:line="480" w:lineRule="auto"/>
        <w:ind w:firstLine="720"/>
        <w:jc w:val="both"/>
      </w:pPr>
      <w:r>
        <w:rPr>
          <w:rFonts w:ascii="Times New Roman" w:cs="Times New Roman" w:eastAsia="Times New Roman" w:hAnsi="Times New Roman"/>
          <w:sz w:val="24"/>
          <w:szCs w:val="24"/>
        </w:rPr>
        <w:t xml:space="preserve">Zhang and Chen (2020), surveying explainable recommendation techniques, argue that a recommendation or ranking system earns a user's trust not merely by producing an accurate result but by being able to justify that result in terms the user can evaluate; a ranking that cannot explain why one candidate outranked another offers a rejected candidate no route to understanding, still less contesting, the decision. This principle motivates the present study's decision to expose the individual components of the Evidence Score, rather than a single opaque ranking number, to both recruiters and candidates through the Bias Audit Engine's feedback channel.</w:t>
      </w:r>
    </w:p>
    <w:p>
      <w:pPr>
        <w:spacing w:after="240" w:before="360" w:line="480" w:lineRule="auto"/>
        <w:jc w:val="left"/>
      </w:pPr>
      <w:r>
        <w:rPr>
          <w:rFonts w:ascii="Times New Roman" w:cs="Times New Roman" w:eastAsia="Times New Roman" w:hAnsi="Times New Roman"/>
          <w:b/>
          <w:bCs/>
          <w:sz w:val="28"/>
          <w:szCs w:val="28"/>
        </w:rPr>
        <w:t xml:space="preserve">2.3 Review of Related Works</w:t>
      </w:r>
    </w:p>
    <w:p>
      <w:pPr>
        <w:spacing w:after="0" w:line="480" w:lineRule="auto"/>
        <w:ind w:firstLine="720"/>
        <w:jc w:val="both"/>
      </w:pPr>
      <w:r>
        <w:rPr>
          <w:rFonts w:ascii="Times New Roman" w:cs="Times New Roman" w:eastAsia="Times New Roman" w:hAnsi="Times New Roman"/>
          <w:sz w:val="24"/>
          <w:szCs w:val="24"/>
        </w:rPr>
        <w:t xml:space="preserve">The economic stakes of this exclusion sit within a broader labour-market shift. Iyoha et al. (2025) document how the rapid growth of African financial-technology infrastructure is reducing the cross-border payment friction that has historically made telemigration, working for a foreign employer through digital platforms without physical relocation, economically difficult even for professionals who do secure global remote roles. Their analysis is optimistic about telemigration's growing viability but does not examine the algorithmic filtering mechanisms that determine who is actually discovered and selected for such roles in the first place, a gap the platform-side and empirical studies reviewed below begin to address.</w:t>
      </w:r>
    </w:p>
    <w:p>
      <w:pPr>
        <w:spacing w:after="0" w:line="480" w:lineRule="auto"/>
        <w:ind w:firstLine="720"/>
        <w:jc w:val="both"/>
      </w:pPr>
      <w:r>
        <w:rPr>
          <w:rFonts w:ascii="Times New Roman" w:cs="Times New Roman" w:eastAsia="Times New Roman" w:hAnsi="Times New Roman"/>
          <w:sz w:val="24"/>
          <w:szCs w:val="24"/>
        </w:rPr>
        <w:t xml:space="preserve">Sánchez-Monedero et al. (2020) argue that no single platform-side technical fix can resolve algorithmic hiring discrimination, because the problem is simultaneously social, technical, and legal in character; Albaroudi et al. (2024), in a comprehensive review of the AI techniques proposed to date for addressing bias in job hiring, confirm that the great majority of these techniques, whatever their individual merit, are implemented from inside a platform's own infrastructure and are not available to an external user. Agbasiere and Nze-Igwe (2025) respond to this limitation by arguing for a fairness-by-design methodology in which equitable treatment is built into a recruitment system's architecture from inception rather than corrected after deployment, a principle the present study operationalises by setting formal-credential weight to zero by default rather than reducing it only after bias is measured. Wu et al. (2021) surveyed graph neural networks (GNNs) and found them more effective than keyword matching for relationship-based recommendation, but Chen et al. (2024) identify a serious fairness concern: because GNNs aggregate information from a node's neighbours, professionals who are less connected to a platform's dominant network, as many African professionals are on Western-centric platforms, receive lower relevance scores for reasons unrelated to their skill. Berhe et al. (2026) proposed a recommendation approach rewarding demonstrated skill growth over time rather than static credentials, a direction promising for informally trained professionals, but validated only on Western datasets. Chen and Fang (2025) proposed FAIR-QR, improving fairness by refining recruiter search queries rather than changing how profiles are ranked. All of these interventions operate at the platform level and are unavailable to an individual professional or a recruiter using a third-party system.</w:t>
      </w:r>
    </w:p>
    <w:p>
      <w:pPr>
        <w:spacing w:after="0" w:line="480" w:lineRule="auto"/>
        <w:ind w:firstLine="720"/>
        <w:jc w:val="both"/>
      </w:pPr>
      <w:r>
        <w:rPr>
          <w:rFonts w:ascii="Times New Roman" w:cs="Times New Roman" w:eastAsia="Times New Roman" w:hAnsi="Times New Roman"/>
          <w:sz w:val="24"/>
          <w:szCs w:val="24"/>
        </w:rPr>
        <w:t xml:space="preserve">Turning from platform-side analysis to direct evidence of harm, Mrashui (2024) examined hiring algorithms in Kenya and found that they convert inconsistent human bias into a systematic, scalable discrimination mechanism, arguing for mandatory auditing of AI hiring tools. Menon (2023) frames the deployment of Western-trained algorithms in African labour markets as a reproduction of colonial-era power dynamics, in which Western institutional credentials are treated as a universal measure of worth. Vivek (2023) shows that for Global South candidates, location functions as a hidden proxy for risk that filters candidates out before their skill is assessed. Akter et al. (2022) supply the underlying mechanism for why this occurs at scale: machine learning models trained on unequal or incomplete historical data do not merely reproduce existing inequality but actively amplify it, so that a model trained mostly on Western hiring outcomes will consistently favour Western candidates without any deliberate design to do so. These design-level and algorithmic disadvantages carry direct economic consequences: Oshioste et al. (2023) compared remote-work outcomes between Nigeria and the United States of America and found that Nigerian workers consistently received lower compensation and accessed fewer high-value roles despite comparable or superior technical skill, a disadvantage they connect directly to reduced platform visibility. Ajayi and Udeh (2024) reviewed information-technology-sector recruitment practices and found that platforms relying on AI-driven candidate selection without ongoing fairness audits consistently amplify the biases already present in their training data. Each of these studies documents the problem thoroughly but stops short of proposing an implemented corrective tool.</w:t>
      </w:r>
    </w:p>
    <w:p>
      <w:pPr>
        <w:spacing w:after="0" w:line="480" w:lineRule="auto"/>
        <w:ind w:firstLine="720"/>
        <w:jc w:val="both"/>
      </w:pPr>
      <w:r>
        <w:rPr>
          <w:rFonts w:ascii="Times New Roman" w:cs="Times New Roman" w:eastAsia="Times New Roman" w:hAnsi="Times New Roman"/>
          <w:sz w:val="24"/>
          <w:szCs w:val="24"/>
        </w:rPr>
        <w:t xml:space="preserve">The mechanics of this amplification are examined more closely by Barenji (2023), who shows empirically that collaborative filtering recommendation systems must contend with several overlapping facets of bias at once, such that a correction targeted at one facet frequently leaves others unaddressed. Pasipamire and Muroyiwa (2024) extend this finding specifically to the African labour-market context in a mixed-methods study, showing that lower algorithmic ranking produces reduced recruiter engagement, which in turn generates less behavioural data for the algorithm to learn from, compounding the original disadvantage over successive hiring cycles.</w:t>
      </w:r>
    </w:p>
    <w:p>
      <w:pPr>
        <w:spacing w:after="0" w:line="480" w:lineRule="auto"/>
        <w:ind w:firstLine="720"/>
        <w:jc w:val="both"/>
      </w:pPr>
      <w:r>
        <w:rPr>
          <w:rFonts w:ascii="Times New Roman" w:cs="Times New Roman" w:eastAsia="Times New Roman" w:hAnsi="Times New Roman"/>
          <w:sz w:val="24"/>
          <w:szCs w:val="24"/>
        </w:rPr>
        <w:t xml:space="preserve">This disadvantage is compounded at the level of profile design and digital identity. Robles-Carrillo (2024) argues that a person's digital professional identity is bounded by what a platform's interface allows them to express: where no field exists for a kind of experience, that experience is effectively invisible to the ranking algorithm. Sun et al. (2024) demonstrate, using a reinforcement-learning approach to interface generation, that adaptive interfaces which adjust to the individual user produce measurably more personalised and better-optimised outcomes than fixed, one-size-fits-all templates, supporting the present study's decision to let a candidate's Competency Profile be structured dynamically around the evidence they actually possess rather than a fixed CV template.</w:t>
      </w:r>
    </w:p>
    <w:p>
      <w:pPr>
        <w:spacing w:after="0" w:line="480" w:lineRule="auto"/>
        <w:ind w:firstLine="720"/>
        <w:jc w:val="both"/>
      </w:pPr>
      <w:r>
        <w:rPr>
          <w:rFonts w:ascii="Times New Roman" w:cs="Times New Roman" w:eastAsia="Times New Roman" w:hAnsi="Times New Roman"/>
          <w:sz w:val="24"/>
          <w:szCs w:val="24"/>
        </w:rPr>
        <w:t xml:space="preserve">A more constructive strand of the literature addresses the technical means available to evaluate competency from evidence rather than credentials. Liu et al. (2020) introduced RoBERTa, a robustly optimised transformer architecture that improved on earlier contextual language models through more extensive pretraining, establishing the class of embedding models on which modern semantic-similarity search depends; Thakur et al. (2021) subsequently introduced BEIR, a heterogeneous benchmark demonstrating that such embedding models generalise effectively to zero-shot retrieval across domains they were not explicitly trained on, a property the present study relies upon when comparing candidate project evidence against previously unseen job descriptions. Bevara et al. (2025) apply this family of models directly to recruitment in Resume2Vec, combining transformer-based encoders with cosine similarity to rank resumes against job descriptions, and report measurable improvement over conventional keyword-based ATS ranking on standard retrieval metrics. Bian et al. (2020) approach the same underlying problem, matching jobs to resumes from sparse interaction data, through a multi-view co-teaching network that combines multiple weak signals of relevance, an approach conceptually related to the present study's decision to combine multiple, independently weighted evidence pipelines rather than relying on any single matching signal. Roy et al. (2020) similarly demonstrate a machine-learning pipeline for automated resume recommendation, confirming that the underlying matching task is well established in the literature even where fairness has not been its primary focus. Zhang and Chen (2020) add that the value of these matching techniques depends partly on their explainability: a system that can justify its ranking builds more user trust than one that cannot, a principle the present study reflects in exposing Evidence Score components rather than a single opaque number. Together, these studies confirm that semantic, evidence-based matching is theoretically motivated and already outperforms keyword matching in practice; the present study extends this technique from resume-to-job matching alone into a multi-pipeline Evidence Score that also incorporates GitHub and community evidence.</w:t>
      </w:r>
    </w:p>
    <w:p>
      <w:pPr>
        <w:spacing w:after="0" w:line="480" w:lineRule="auto"/>
        <w:ind w:firstLine="720"/>
        <w:jc w:val="both"/>
      </w:pPr>
      <w:r>
        <w:rPr>
          <w:rFonts w:ascii="Times New Roman" w:cs="Times New Roman" w:eastAsia="Times New Roman" w:hAnsi="Times New Roman"/>
          <w:sz w:val="24"/>
          <w:szCs w:val="24"/>
        </w:rPr>
        <w:t xml:space="preserve">Alongside semantic matching, a separate body of work treats GitHub and community platforms as informal credentials in their own right. Liang et al. (2022a) surveyed open-source contributors and developed an empirical model of 45 distinct skills observable through GitHub activity, spanning technical, interpersonal, and project-management competencies, demonstrating that platform activity signals a far richer skill profile than a CV's flat list of named technologies. In a companion study, Liang et al. (2022b) operationalised this model into an automated mining pipeline capable of detecting these skills directly from a contributor's public activity, though their prototype was validated only for skill detection and was not extended into a weighted, per-candidate ranking score usable for individual competitive ranking. Calefato et al. (2024), studying GitHub's own gamified achievement badges across a large sample of developer profiles, found that platform-awarded badges are inconsistently reliable as signals of ability unless they are tied to a verifiable history of activity rather than a single qualifying action, a finding with direct design implications for the present study's own Competency Verification Badge, which is deliberately tiered (Declared, Confirmed, Verified) and requires corroboration across independent evidence sources rather than a single platform-awarded mark. Sariola et al. (2026), auditing a range of fairness interventions in algorithmic hiring, observe that many interventions marketed as bias-reducing do not reliably deliver on that claim once tested under realistic audit conditions, underscoring the need for continuous, independently verifiable auditing rather than a one-time fairness claim. Read together, these studies support the present study's design choice to make GitHub and community evidence a first-class, independently weighted, multi-source-verified input rather than a supplementary note attached to a CV.</w:t>
      </w:r>
    </w:p>
    <w:p>
      <w:pPr>
        <w:spacing w:after="0" w:line="480" w:lineRule="auto"/>
        <w:ind w:firstLine="720"/>
        <w:jc w:val="both"/>
      </w:pPr>
      <w:r>
        <w:rPr>
          <w:rFonts w:ascii="Times New Roman" w:cs="Times New Roman" w:eastAsia="Times New Roman" w:hAnsi="Times New Roman"/>
          <w:sz w:val="24"/>
          <w:szCs w:val="24"/>
        </w:rPr>
        <w:t xml:space="preserve">Finally, a separate strand of research, largely situated in Western labour markets, questions whether voluntary skills-based hiring commitments actually change recruiter behaviour. Sigelman et al. (2024), in a joint Harvard Business School and Burning Glass Institute study of over 45,000 job postings, found that although a large share of employers publicly announced the removal of degree requirements, fewer than one in seven hundred actual hires were affected by the change, because the underlying ATS filters, hiring-manager habits, and interview guides were left unmodified. This finding is instructive for the present study: it demonstrates that declaring an evaluation philosophy, without structurally enforcing it in the ranking mechanism itself, produces negligible real-world change. It is precisely this gap between stated intention and enforced mechanism that EquityEngine's zero-default credential weighting and mandatory screening-mode selection are designed to close, by making evidence-based evaluation the system's default behaviour rather than an optional recruiter preference.</w:t>
      </w:r>
    </w:p>
    <w:p>
      <w:pPr>
        <w:spacing w:after="240" w:before="360" w:line="480" w:lineRule="auto"/>
        <w:jc w:val="left"/>
      </w:pPr>
      <w:r>
        <w:rPr>
          <w:rFonts w:ascii="Times New Roman" w:cs="Times New Roman" w:eastAsia="Times New Roman" w:hAnsi="Times New Roman"/>
          <w:b/>
          <w:bCs/>
          <w:sz w:val="28"/>
          <w:szCs w:val="28"/>
        </w:rPr>
        <w:t xml:space="preserve">2.4 Comparative Analysis of Existing Systems</w:t>
      </w:r>
    </w:p>
    <w:p>
      <w:pPr>
        <w:spacing w:after="0" w:line="480" w:lineRule="auto"/>
        <w:ind w:firstLine="720"/>
        <w:jc w:val="both"/>
      </w:pPr>
      <w:r>
        <w:rPr>
          <w:rFonts w:ascii="Times New Roman" w:cs="Times New Roman" w:eastAsia="Times New Roman" w:hAnsi="Times New Roman"/>
          <w:sz w:val="24"/>
          <w:szCs w:val="24"/>
        </w:rPr>
        <w:t xml:space="preserve">Table 2.1 compares EquityEngine against the principal categories of existing system identified in the review above, using five criteria: the basis on which candidates are evaluated, whether anonymisation is available, whether the approach is calibrated for the African context, and whether it audits or provides feedback on its own outcomes.</w:t>
      </w:r>
    </w:p>
    <w:p>
      <w:pPr>
        <w:spacing w:after="120" w:before="240"/>
        <w:jc w:val="left"/>
      </w:pPr>
      <w:r>
        <w:rPr>
          <w:rFonts w:ascii="Times New Roman" w:cs="Times New Roman" w:eastAsia="Times New Roman" w:hAnsi="Times New Roman"/>
          <w:b/>
          <w:bCs/>
          <w:sz w:val="22"/>
          <w:szCs w:val="22"/>
        </w:rPr>
        <w:t xml:space="preserve">Table 2.1: Comparative analysis of existing approaches and EquityEngine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950"/>
        <w:gridCol w:w="1950"/>
        <w:gridCol w:w="1950"/>
        <w:gridCol w:w="1950"/>
      </w:tblGrid>
      <w:tr>
        <w:trPr>
          <w:cantSplit/>
          <w:tblHeader/>
        </w:trPr>
        <w:tc>
          <w:tcPr>
            <w:tcW w:type="pct" w:w="22%"/>
            <w:shd w:fill="D9D9D9" w:val="clear"/>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bCs/>
                <w:sz w:val="20"/>
                <w:szCs w:val="20"/>
              </w:rPr>
              <w:t xml:space="preserve">System / Approach</w:t>
            </w:r>
          </w:p>
        </w:tc>
        <w:tc>
          <w:tcPr>
            <w:tcW w:type="pct" w:w="19.5%"/>
            <w:shd w:fill="D9D9D9" w:val="clear"/>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bCs/>
                <w:sz w:val="20"/>
                <w:szCs w:val="20"/>
              </w:rPr>
              <w:t xml:space="preserve">Evaluation Basis</w:t>
            </w:r>
          </w:p>
        </w:tc>
        <w:tc>
          <w:tcPr>
            <w:tcW w:type="pct" w:w="19.5%"/>
            <w:shd w:fill="D9D9D9" w:val="clear"/>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bCs/>
                <w:sz w:val="20"/>
                <w:szCs w:val="20"/>
              </w:rPr>
              <w:t xml:space="preserve">Anonymised Screening</w:t>
            </w:r>
          </w:p>
        </w:tc>
        <w:tc>
          <w:tcPr>
            <w:tcW w:type="pct" w:w="19.5%"/>
            <w:shd w:fill="D9D9D9" w:val="clear"/>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bCs/>
                <w:sz w:val="20"/>
                <w:szCs w:val="20"/>
              </w:rPr>
              <w:t xml:space="preserve">Africa-Calibrated</w:t>
            </w:r>
          </w:p>
        </w:tc>
        <w:tc>
          <w:tcPr>
            <w:tcW w:type="pct" w:w="19.5%"/>
            <w:shd w:fill="D9D9D9" w:val="clear"/>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bCs/>
                <w:sz w:val="20"/>
                <w:szCs w:val="20"/>
              </w:rPr>
              <w:t xml:space="preserve">Audit / Feedback</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Discrimination-solving frameworks (Sánchez-Monedero et al., 2020; Albaroudi et al., 2024)</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Social/technical/legal analysis</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FAIR-QR (Chen &amp; Fang, 2025)</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Query refinement</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Partial</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Adaptive skill-growth RS (Berhe et al., 2026)</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Skill growth over time</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 (Western data only)</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Resume2Vec (Bevara et al., 2025)</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Semantic embedding similarity</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Fairness-aware GNN matching (Wu et al., 2021; Chen et al., 2024)</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Network position + relevance</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w:t>
            </w:r>
          </w:p>
        </w:tc>
      </w:tr>
      <w:tr>
        <w:trPr>
          <w:cantSplit/>
          <w:tblHeader w:val="false"/>
        </w:trPr>
        <w:tc>
          <w:tcPr>
            <w:tcW w:type="pct" w:w="22%"/>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EquityEngine (this study)</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Multi-pipeline Evidence Score</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Yes (selectable per job)</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Yes</w:t>
            </w:r>
          </w:p>
        </w:tc>
        <w:tc>
          <w:tcPr>
            <w:tcW w:type="pct" w:w="19.5%"/>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Yes (Bias Audit Engine)</w:t>
            </w:r>
          </w:p>
        </w:tc>
      </w:tr>
    </w:tbl>
    <w:p>
      <w:pPr>
        <w:spacing w:after="0" w:line="480" w:lineRule="auto"/>
        <w:ind w:firstLine="720"/>
        <w:jc w:val="both"/>
      </w:pPr>
      <w:r>
        <w:rPr>
          <w:rFonts w:ascii="Times New Roman" w:cs="Times New Roman" w:eastAsia="Times New Roman" w:hAnsi="Times New Roman"/>
          <w:sz w:val="24"/>
          <w:szCs w:val="24"/>
        </w:rPr>
        <w:t xml:space="preserve">The comparison shows that, while individual prior systems address one or two of these criteria well, none combines evidence-based ranking with recruiter-selectable anonymisation, regional calibration, and continuous self-auditing in a single system. This composite gap is precisely what EquityEngine is designed to close.</w:t>
      </w:r>
    </w:p>
    <w:p>
      <w:pPr>
        <w:spacing w:after="240" w:before="360" w:line="480" w:lineRule="auto"/>
        <w:jc w:val="left"/>
      </w:pPr>
      <w:r>
        <w:rPr>
          <w:rFonts w:ascii="Times New Roman" w:cs="Times New Roman" w:eastAsia="Times New Roman" w:hAnsi="Times New Roman"/>
          <w:b/>
          <w:bCs/>
          <w:sz w:val="28"/>
          <w:szCs w:val="28"/>
        </w:rPr>
        <w:t xml:space="preserve">2.5 Research Gap Identification</w:t>
      </w:r>
    </w:p>
    <w:p>
      <w:pPr>
        <w:spacing w:after="0" w:line="480" w:lineRule="auto"/>
        <w:ind w:firstLine="720"/>
        <w:jc w:val="both"/>
      </w:pPr>
      <w:r>
        <w:rPr>
          <w:rFonts w:ascii="Times New Roman" w:cs="Times New Roman" w:eastAsia="Times New Roman" w:hAnsi="Times New Roman"/>
          <w:sz w:val="24"/>
          <w:szCs w:val="24"/>
        </w:rPr>
        <w:t xml:space="preserve">Three specific gaps emerge from the literature reviewed above. First, every platform-side fairness intervention identified (Sánchez-Monedero et al., 2020; Albaroudi et al., 2024; Berhe et al., 2026; Chen &amp; Fang, 2025; Wu et al., 2021; Chen et al., 2024) requires access to internal platform infrastructure that neither an individual African professional nor a third-party recruiter can obtain; no existing system offers evidence-based, anonymisable screening as a standalone, deployable tool. Second, while semantic matching techniques (Liu et al., 2020; Thakur et al., 2021; Bevara et al., 2025; Bian et al., 2020; Roy et al., 2020) and informal-credential research (Liang et al., 2022a, 2022b) each independently demonstrate that competency can be measured from evidence other than formal credentials, no reviewed system combines CV, GitHub, and community evidence into a single unified, weighted profile. Third, no reviewed system pairs its matching or ranking mechanism with a continuous audit component: Pasipamire and Muroyiwa (2024) and Barenji (2023) both establish, theoretically, that bias compounds over time under collaborative filtering, and Sariola et al. (2026) show that even interventions explicitly marketed as fairness-improving frequently fail to deliver that improvement once audited, yet none of the corrective systems reviewed measures its own outcomes on an ongoing basis to verify whether this compounding is actually being prevented.</w:t>
      </w:r>
    </w:p>
    <w:p>
      <w:pPr>
        <w:spacing w:after="0" w:line="480" w:lineRule="auto"/>
        <w:ind w:firstLine="720"/>
        <w:jc w:val="both"/>
      </w:pPr>
      <w:r>
        <w:rPr>
          <w:rFonts w:ascii="Times New Roman" w:cs="Times New Roman" w:eastAsia="Times New Roman" w:hAnsi="Times New Roman"/>
          <w:sz w:val="24"/>
          <w:szCs w:val="24"/>
        </w:rPr>
        <w:t xml:space="preserve">These three gaps correspond directly to the three vectors of the BDIOF (Bi-Directional Identity Optimisation Framework) conceptual model and are addressed in the present study through, respectively: the multi-pipeline Competency Engine (Objective 1), the anonymised, selectable-mode recruiter portal (Objective 2), and the Bias Audit Engine with continuous Visibility Gap tracking (Objective 3).</w:t>
      </w:r>
    </w:p>
    <w:p>
      <w:pPr>
        <w:spacing w:after="240" w:before="360" w:line="480" w:lineRule="auto"/>
        <w:jc w:val="left"/>
      </w:pPr>
      <w:r>
        <w:rPr>
          <w:rFonts w:ascii="Times New Roman" w:cs="Times New Roman" w:eastAsia="Times New Roman" w:hAnsi="Times New Roman"/>
          <w:b/>
          <w:bCs/>
          <w:sz w:val="28"/>
          <w:szCs w:val="28"/>
        </w:rPr>
        <w:t xml:space="preserve">2.6 Summary of Literature Review</w:t>
      </w:r>
    </w:p>
    <w:p>
      <w:pPr>
        <w:spacing w:after="0" w:line="480" w:lineRule="auto"/>
        <w:ind w:firstLine="720"/>
        <w:jc w:val="both"/>
      </w:pPr>
      <w:r>
        <w:rPr>
          <w:rFonts w:ascii="Times New Roman" w:cs="Times New Roman" w:eastAsia="Times New Roman" w:hAnsi="Times New Roman"/>
          <w:sz w:val="24"/>
          <w:szCs w:val="24"/>
        </w:rPr>
        <w:t xml:space="preserve">This chapter has reviewed the conceptual and theoretical foundations of algorithmic bias in technology recruitment, the specific mechanisms by which African tech professionals are disadvantaged, and the technical building blocks (semantic NLP matching, informal-credential signalling, and explainable ranking) available to address that disadvantage. The literature confirms three things: that algorithmic bias against African professionals is well documented and theoretically well understood (Akter et al., 2022; Mrashui, 2024; Menon, 2023; Vivek, 2023; Oshioste et al., 2023); that the technical means to evaluate competency from multiple sources of evidence rather than formal credentials alone now exist and have been separately validated (Liu et al., 2020; Thakur et al., 2021; Liang et al., 2022a, 2022b; Bevara et al., 2025; Bian et al., 2020; Roy et al., 2020); and that no existing system combines these means with recruiter-selectable anonymisation and continuous bias auditing in a single, user-level deployable tool. Chapter Three now presents the methodology, requirements, and design through which the present study closes this gap.</w:t>
      </w:r>
    </w:p>
    <w:p>
      <w:pPr>
        <w:pageBreakBefore/>
        <w:spacing w:after="360"/>
        <w:jc w:val="center"/>
      </w:pPr>
      <w:r>
        <w:rPr>
          <w:rFonts w:ascii="Times New Roman" w:cs="Times New Roman" w:eastAsia="Times New Roman" w:hAnsi="Times New Roman"/>
          <w:b/>
          <w:bCs/>
          <w:sz w:val="28"/>
          <w:szCs w:val="28"/>
        </w:rPr>
        <w:t xml:space="preserve">References</w:t>
      </w:r>
    </w:p>
    <w:p>
      <w:pPr>
        <w:spacing w:after="200" w:line="240" w:lineRule="auto"/>
        <w:ind w:left="720" w:hanging="720"/>
        <w:jc w:val="left"/>
      </w:pPr>
      <w:r>
        <w:rPr>
          <w:rFonts w:ascii="Times New Roman" w:cs="Times New Roman" w:eastAsia="Times New Roman" w:hAnsi="Times New Roman"/>
          <w:sz w:val="24"/>
          <w:szCs w:val="24"/>
        </w:rPr>
        <w:t xml:space="preserve">Agbasiere, C., &amp; Nze-Igwe, G. (2025). Algorithmic fairness in recruitment: Designing AI-powered hiring tools to identify and reduce biases in candidate selection. Path of Science, 11(4), 5001–5021. https://doi.org/10.22178/pos.116-10</w:t>
      </w:r>
    </w:p>
    <w:p>
      <w:pPr>
        <w:spacing w:after="200" w:line="240" w:lineRule="auto"/>
        <w:ind w:left="720" w:hanging="720"/>
        <w:jc w:val="left"/>
      </w:pPr>
      <w:r>
        <w:rPr>
          <w:rFonts w:ascii="Times New Roman" w:cs="Times New Roman" w:eastAsia="Times New Roman" w:hAnsi="Times New Roman"/>
          <w:sz w:val="24"/>
          <w:szCs w:val="24"/>
        </w:rPr>
        <w:t xml:space="preserve">Ajayi, F. A., &amp; Udeh, C. A. (2024). Innovative recruitment strategies in the IT sector: A review of successes and failures. Magna Scientia Advanced Research and Reviews, 10(2), 150–164. https://doi.org/10.30574/msarr.2024.10.2.0057</w:t>
      </w:r>
    </w:p>
    <w:p>
      <w:pPr>
        <w:spacing w:after="200" w:line="240" w:lineRule="auto"/>
        <w:ind w:left="720" w:hanging="720"/>
        <w:jc w:val="left"/>
      </w:pPr>
      <w:r>
        <w:rPr>
          <w:rFonts w:ascii="Times New Roman" w:cs="Times New Roman" w:eastAsia="Times New Roman" w:hAnsi="Times New Roman"/>
          <w:sz w:val="24"/>
          <w:szCs w:val="24"/>
        </w:rPr>
        <w:t xml:space="preserve">Akter, S., Dwivedi, Y. K., Sajib, S., Biswas, K., Bandara, R. J., &amp; Michael, K. (2022). Algorithmic bias in machine learning-based marketing models. Journal of Business Research, 144, 201–216. https://doi.org/10.1016/j.jbusres.2022.01.083</w:t>
      </w:r>
    </w:p>
    <w:p>
      <w:pPr>
        <w:spacing w:after="200" w:line="240" w:lineRule="auto"/>
        <w:ind w:left="720" w:hanging="720"/>
        <w:jc w:val="left"/>
      </w:pPr>
      <w:r>
        <w:rPr>
          <w:rFonts w:ascii="Times New Roman" w:cs="Times New Roman" w:eastAsia="Times New Roman" w:hAnsi="Times New Roman"/>
          <w:sz w:val="24"/>
          <w:szCs w:val="24"/>
        </w:rPr>
        <w:t xml:space="preserve">Albaroudi, E., Mansouri, T., &amp; Alameer, A. (2024). A comprehensive review of AI techniques for addressing algorithmic bias in job hiring. AI, 5(1), 383–404. https://doi.org/10.3390/ai5010019</w:t>
      </w:r>
    </w:p>
    <w:p>
      <w:pPr>
        <w:spacing w:after="200" w:line="240" w:lineRule="auto"/>
        <w:ind w:left="720" w:hanging="720"/>
        <w:jc w:val="left"/>
      </w:pPr>
      <w:r>
        <w:rPr>
          <w:rFonts w:ascii="Times New Roman" w:cs="Times New Roman" w:eastAsia="Times New Roman" w:hAnsi="Times New Roman"/>
          <w:sz w:val="24"/>
          <w:szCs w:val="24"/>
        </w:rPr>
        <w:t xml:space="preserve">Barenji, S. V. (2023). Managing multi-facet bias in collaborative filtering recommender (arXiv:2302.10575). arXiv. https://doi.org/10.48550/arXiv.2302.10575</w:t>
      </w:r>
    </w:p>
    <w:p>
      <w:pPr>
        <w:spacing w:after="200" w:line="240" w:lineRule="auto"/>
        <w:ind w:left="720" w:hanging="720"/>
        <w:jc w:val="left"/>
      </w:pPr>
      <w:r>
        <w:rPr>
          <w:rFonts w:ascii="Times New Roman" w:cs="Times New Roman" w:eastAsia="Times New Roman" w:hAnsi="Times New Roman"/>
          <w:sz w:val="24"/>
          <w:szCs w:val="24"/>
        </w:rPr>
        <w:t xml:space="preserve">Berhe, R. S., Sinha, G., Ambelo, D. K., Getachew, B. A., Birhanu, S. G., Hassen, R. A., &amp; Gebre, H. W. (2026). Adaptive and fair job recommendation system using skill evolution and bias mitigation techniques. In Nagaraja &amp; Kannadhasan (Eds.), Information and communication systems (pp. 1–5). Taylor &amp; Francis. https://doi.org/10.1201/9781003650201-1</w:t>
      </w:r>
    </w:p>
    <w:p>
      <w:pPr>
        <w:spacing w:after="200" w:line="240" w:lineRule="auto"/>
        <w:ind w:left="720" w:hanging="720"/>
        <w:jc w:val="left"/>
      </w:pPr>
      <w:r>
        <w:rPr>
          <w:rFonts w:ascii="Times New Roman" w:cs="Times New Roman" w:eastAsia="Times New Roman" w:hAnsi="Times New Roman"/>
          <w:sz w:val="24"/>
          <w:szCs w:val="24"/>
        </w:rPr>
        <w:t xml:space="preserve">Bevara, R. V. K., Mannuru, N. R., Karedla, S. P., Lund, B., Xiao, T., Pasem, H., Dronavalli, S. C., &amp; Rupeshkumar, S. (2025). Resume2Vec: Transforming applicant tracking systems with intelligent resume embeddings for precise candidate matching. Electronics, 14(4), Article 794. https://doi.org/10.3390/electronics14040794</w:t>
      </w:r>
    </w:p>
    <w:p>
      <w:pPr>
        <w:spacing w:after="200" w:line="240" w:lineRule="auto"/>
        <w:ind w:left="720" w:hanging="720"/>
        <w:jc w:val="left"/>
      </w:pPr>
      <w:r>
        <w:rPr>
          <w:rFonts w:ascii="Times New Roman" w:cs="Times New Roman" w:eastAsia="Times New Roman" w:hAnsi="Times New Roman"/>
          <w:sz w:val="24"/>
          <w:szCs w:val="24"/>
        </w:rPr>
        <w:t xml:space="preserve">Bian, S., Chen, X., Zhao, W. X., Zhou, K., Hou, Y., Song, Y., Zhang, T., &amp; Wen, J.-R. (2020). Learning to match jobs with resumes from sparse interaction data using multi-view co-teaching network. Proceedings of the 29th ACM International Conference on Information &amp; Knowledge Management, 65–74. https://doi.org/10.1145/3340531.3411929</w:t>
      </w:r>
    </w:p>
    <w:p>
      <w:pPr>
        <w:spacing w:after="200" w:line="240" w:lineRule="auto"/>
        <w:ind w:left="720" w:hanging="720"/>
        <w:jc w:val="left"/>
      </w:pPr>
      <w:r>
        <w:rPr>
          <w:rFonts w:ascii="Times New Roman" w:cs="Times New Roman" w:eastAsia="Times New Roman" w:hAnsi="Times New Roman"/>
          <w:sz w:val="24"/>
          <w:szCs w:val="24"/>
        </w:rPr>
        <w:t xml:space="preserve">Calefato, F., Quaranta, L., &amp; Lanubile, F. (2024). A lot of talk and a badge: An exploratory analysis of personal achievements in GitHub. Information and Software Technology, 176, Article 107561. https://doi.org/10.1016/j.infsof.2024.107561</w:t>
      </w:r>
    </w:p>
    <w:p>
      <w:pPr>
        <w:spacing w:after="200" w:line="240" w:lineRule="auto"/>
        <w:ind w:left="720" w:hanging="720"/>
        <w:jc w:val="left"/>
      </w:pPr>
      <w:r>
        <w:rPr>
          <w:rFonts w:ascii="Times New Roman" w:cs="Times New Roman" w:eastAsia="Times New Roman" w:hAnsi="Times New Roman"/>
          <w:sz w:val="24"/>
          <w:szCs w:val="24"/>
        </w:rPr>
        <w:t xml:space="preserve">Chen, A., Rossi, R. A., Park, N., Trivedi, P., Wang, Y., Yu, T., Kim, S., Dernoncourt, F., &amp; Ahmed, N. K. (2024). Fairness-aware graph neural networks: A survey. ACM Transactions on Knowledge Discovery from Data, 18(6), Article 138. https://doi.org/10.1145/3649142</w:t>
      </w:r>
    </w:p>
    <w:p>
      <w:pPr>
        <w:spacing w:after="200" w:line="240" w:lineRule="auto"/>
        <w:ind w:left="720" w:hanging="720"/>
        <w:jc w:val="left"/>
      </w:pPr>
      <w:r>
        <w:rPr>
          <w:rFonts w:ascii="Times New Roman" w:cs="Times New Roman" w:eastAsia="Times New Roman" w:hAnsi="Times New Roman"/>
          <w:sz w:val="24"/>
          <w:szCs w:val="24"/>
        </w:rPr>
        <w:t xml:space="preserve">Chen, F., &amp; Fang, H. (2025). FAIR-QR: Enhancing fairness-aware information retrieval through query refinement (arXiv:2503.21092). arXiv. https://arxiv.org/abs/2503.21092</w:t>
      </w:r>
    </w:p>
    <w:p>
      <w:pPr>
        <w:spacing w:after="200" w:line="240" w:lineRule="auto"/>
        <w:ind w:left="720" w:hanging="720"/>
        <w:jc w:val="left"/>
      </w:pPr>
      <w:r>
        <w:rPr>
          <w:rFonts w:ascii="Times New Roman" w:cs="Times New Roman" w:eastAsia="Times New Roman" w:hAnsi="Times New Roman"/>
          <w:sz w:val="24"/>
          <w:szCs w:val="24"/>
        </w:rPr>
        <w:t xml:space="preserve">Iyoha, E., Amoussou, O., &amp; Okundaye, P. (2025). The role of African fintechs in facilitating telemigration (Working Paper No. 26-010). Harvard Business School. https://www.hbs.edu/faculty/Pages/item.aspx?num=67874</w:t>
      </w:r>
    </w:p>
    <w:p>
      <w:pPr>
        <w:spacing w:after="200" w:line="240" w:lineRule="auto"/>
        <w:ind w:left="720" w:hanging="720"/>
        <w:jc w:val="left"/>
      </w:pPr>
      <w:r>
        <w:rPr>
          <w:rFonts w:ascii="Times New Roman" w:cs="Times New Roman" w:eastAsia="Times New Roman" w:hAnsi="Times New Roman"/>
          <w:sz w:val="24"/>
          <w:szCs w:val="24"/>
        </w:rPr>
        <w:t xml:space="preserve">Ko, H., Lee, S., Park, Y., &amp; Choi, A. (2022). A survey of recommendation systems: Recommendation models, techniques, and application fields. Electronics, 11(1), Article 141. https://doi.org/10.3390/electronics11010141</w:t>
      </w:r>
    </w:p>
    <w:p>
      <w:pPr>
        <w:spacing w:after="200" w:line="240" w:lineRule="auto"/>
        <w:ind w:left="720" w:hanging="720"/>
        <w:jc w:val="left"/>
      </w:pPr>
      <w:r>
        <w:rPr>
          <w:rFonts w:ascii="Times New Roman" w:cs="Times New Roman" w:eastAsia="Times New Roman" w:hAnsi="Times New Roman"/>
          <w:sz w:val="24"/>
          <w:szCs w:val="24"/>
        </w:rPr>
        <w:t xml:space="preserve">Liang, J. T., Zimmermann, T., &amp; Ford, D. (2022a). Understanding skills for OSS communities on GitHub. Proceedings of the 30th ACM Joint European Software Engineering Conference and Symposium on the Foundations of Software Engineering, 101–112. https://doi.org/10.1145/3540250.3549082</w:t>
      </w:r>
    </w:p>
    <w:p>
      <w:pPr>
        <w:spacing w:after="200" w:line="240" w:lineRule="auto"/>
        <w:ind w:left="720" w:hanging="720"/>
        <w:jc w:val="left"/>
      </w:pPr>
      <w:r>
        <w:rPr>
          <w:rFonts w:ascii="Times New Roman" w:cs="Times New Roman" w:eastAsia="Times New Roman" w:hAnsi="Times New Roman"/>
          <w:sz w:val="24"/>
          <w:szCs w:val="24"/>
        </w:rPr>
        <w:t xml:space="preserve">Liang, J. T., Zimmermann, T., &amp; Ford, D. (2022b). Towards mining OSS skills from GitHub activity. Proceedings of the 44th International Conference on Software Engineering: New Ideas and Emerging Results, 106–110. https://doi.org/10.1145/3510455.3512772</w:t>
      </w:r>
    </w:p>
    <w:p>
      <w:pPr>
        <w:spacing w:after="200" w:line="240" w:lineRule="auto"/>
        <w:ind w:left="720" w:hanging="720"/>
        <w:jc w:val="left"/>
      </w:pPr>
      <w:r>
        <w:rPr>
          <w:rFonts w:ascii="Times New Roman" w:cs="Times New Roman" w:eastAsia="Times New Roman" w:hAnsi="Times New Roman"/>
          <w:sz w:val="24"/>
          <w:szCs w:val="24"/>
        </w:rPr>
        <w:t xml:space="preserve">Liu, Y., Ott, M., Goyal, N., Du, J., Joshi, M., Chen, D., Levy, O., Lewis, M., Zettlemoyer, L., &amp; Stoyanov, V. (2020). RoBERTa: A robustly optimized BERT pretraining approach (arXiv:1907.11692). arXiv. https://arxiv.org/abs/1907.11692</w:t>
      </w:r>
    </w:p>
    <w:p>
      <w:pPr>
        <w:spacing w:after="200" w:line="240" w:lineRule="auto"/>
        <w:ind w:left="720" w:hanging="720"/>
        <w:jc w:val="left"/>
      </w:pPr>
      <w:r>
        <w:rPr>
          <w:rFonts w:ascii="Times New Roman" w:cs="Times New Roman" w:eastAsia="Times New Roman" w:hAnsi="Times New Roman"/>
          <w:sz w:val="24"/>
          <w:szCs w:val="24"/>
        </w:rPr>
        <w:t xml:space="preserve">Menon, S. (2023). Postcolonial differentials in algorithmic bias: Challenging digital neo-colonialism in Africa. SCRIPTed: A Journal of Law, Technology &amp; Society, 20(2), 383–399. https://doi.org/10.2218/scrip.20.2.2023.8980</w:t>
      </w:r>
    </w:p>
    <w:p>
      <w:pPr>
        <w:spacing w:after="200" w:line="240" w:lineRule="auto"/>
        <w:ind w:left="720" w:hanging="720"/>
        <w:jc w:val="left"/>
      </w:pPr>
      <w:r>
        <w:rPr>
          <w:rFonts w:ascii="Times New Roman" w:cs="Times New Roman" w:eastAsia="Times New Roman" w:hAnsi="Times New Roman"/>
          <w:sz w:val="24"/>
          <w:szCs w:val="24"/>
        </w:rPr>
        <w:t xml:space="preserve">Mrashui, K. (2024). Algorithmic bias in hiring algorithms: A Kenyan perspective. Strathmore Law Review, 9(1), 13–36. https://doi.org/10.52907/slr.v9i1.480</w:t>
      </w:r>
    </w:p>
    <w:p>
      <w:pPr>
        <w:spacing w:after="200" w:line="240" w:lineRule="auto"/>
        <w:ind w:left="720" w:hanging="720"/>
        <w:jc w:val="left"/>
      </w:pPr>
      <w:r>
        <w:rPr>
          <w:rFonts w:ascii="Times New Roman" w:cs="Times New Roman" w:eastAsia="Times New Roman" w:hAnsi="Times New Roman"/>
          <w:sz w:val="24"/>
          <w:szCs w:val="24"/>
        </w:rPr>
        <w:t xml:space="preserve">Oshioste, E., Eigbadon, M., Nwankwo, T., Okoye, C., &amp; Udokwu, S. (2023). The implications of remote work: An analysis of Nigeria and the USA. Social Values and Society, 5(1), 4–12. https://doi.org/10.26480/svs.01.2023.04.12</w:t>
      </w:r>
    </w:p>
    <w:p>
      <w:pPr>
        <w:spacing w:after="200" w:line="240" w:lineRule="auto"/>
        <w:ind w:left="720" w:hanging="720"/>
        <w:jc w:val="left"/>
      </w:pPr>
      <w:r>
        <w:rPr>
          <w:rFonts w:ascii="Times New Roman" w:cs="Times New Roman" w:eastAsia="Times New Roman" w:hAnsi="Times New Roman"/>
          <w:sz w:val="24"/>
          <w:szCs w:val="24"/>
        </w:rPr>
        <w:t xml:space="preserve">Pasipamire, N., &amp; Muroyiwa, A. (2024). Navigating algorithm bias in AI: Ensuring fairness and trust in Africa. Frontiers in Research Metrics and Analytics, 9. https://doi.org/10.3389/frma.2024.1486600</w:t>
      </w:r>
    </w:p>
    <w:p>
      <w:pPr>
        <w:spacing w:after="200" w:line="240" w:lineRule="auto"/>
        <w:ind w:left="720" w:hanging="720"/>
        <w:jc w:val="left"/>
      </w:pPr>
      <w:r>
        <w:rPr>
          <w:rFonts w:ascii="Times New Roman" w:cs="Times New Roman" w:eastAsia="Times New Roman" w:hAnsi="Times New Roman"/>
          <w:sz w:val="24"/>
          <w:szCs w:val="24"/>
        </w:rPr>
        <w:t xml:space="preserve">Robles-Carrillo, M. (2024). Digital identity: An approach to its nature, concept, and functionalities. International Journal of Law and Information Technology, 32(1), Article eaae019. https://doi.org/10.1093/ijlit/eaae019</w:t>
      </w:r>
    </w:p>
    <w:p>
      <w:pPr>
        <w:spacing w:after="200" w:line="240" w:lineRule="auto"/>
        <w:ind w:left="720" w:hanging="720"/>
        <w:jc w:val="left"/>
      </w:pPr>
      <w:r>
        <w:rPr>
          <w:rFonts w:ascii="Times New Roman" w:cs="Times New Roman" w:eastAsia="Times New Roman" w:hAnsi="Times New Roman"/>
          <w:sz w:val="24"/>
          <w:szCs w:val="24"/>
        </w:rPr>
        <w:t xml:space="preserve">Roy, P. K., Chowdhary, S. S., &amp; Bhatia, R. (2020). A machine learning approach for automation of resume recommendation system. Procedia Computer Science, 167, 2318–2327. https://doi.org/10.1016/j.procs.2020.03.284</w:t>
      </w:r>
    </w:p>
    <w:p>
      <w:pPr>
        <w:spacing w:after="200" w:line="240" w:lineRule="auto"/>
        <w:ind w:left="720" w:hanging="720"/>
        <w:jc w:val="left"/>
      </w:pPr>
      <w:r>
        <w:rPr>
          <w:rFonts w:ascii="Times New Roman" w:cs="Times New Roman" w:eastAsia="Times New Roman" w:hAnsi="Times New Roman"/>
          <w:sz w:val="24"/>
          <w:szCs w:val="24"/>
        </w:rPr>
        <w:t xml:space="preserve">Sánchez-Monedero, J., Dencik, L., &amp; Edwards, L. (2020). What does it mean to 'solve' the problem of discrimination in hiring? Social, technical and legal perspectives from AI decision-making. Proceedings of the 2020 Conference on Fairness, Accountability, and Transparency, 458–468. https://doi.org/10.1145/3351095.3372849</w:t>
      </w:r>
    </w:p>
    <w:p>
      <w:pPr>
        <w:spacing w:after="200" w:line="240" w:lineRule="auto"/>
        <w:ind w:left="720" w:hanging="720"/>
        <w:jc w:val="left"/>
      </w:pPr>
      <w:r>
        <w:rPr>
          <w:rFonts w:ascii="Times New Roman" w:cs="Times New Roman" w:eastAsia="Times New Roman" w:hAnsi="Times New Roman"/>
          <w:sz w:val="24"/>
          <w:szCs w:val="24"/>
        </w:rPr>
        <w:t xml:space="preserve">Sariola, D., Button, P., Culotta, A., &amp; Mattei, N. (2026). The illusion of fairness: Auditing fairness interventions in algorithmic hiring with audit studies. Proceedings of the AAAI Conference on Artificial Intelligence, 40(46), 39191–39200. https://doi.org/10.1609/aaai.v40i46.41267</w:t>
      </w:r>
    </w:p>
    <w:p>
      <w:pPr>
        <w:spacing w:after="200" w:line="240" w:lineRule="auto"/>
        <w:ind w:left="720" w:hanging="720"/>
        <w:jc w:val="left"/>
      </w:pPr>
      <w:r>
        <w:rPr>
          <w:rFonts w:ascii="Times New Roman" w:cs="Times New Roman" w:eastAsia="Times New Roman" w:hAnsi="Times New Roman"/>
          <w:sz w:val="24"/>
          <w:szCs w:val="24"/>
        </w:rPr>
        <w:t xml:space="preserve">Sigelman, M., Fuller, J., &amp; Martin, A. (2024). Skills-based hiring: The long road from pronouncements to practice. Burning Glass Institute &amp; Harvard Business School Project on Managing the Future of Work. https://www.burningglassinstitute.org/research/skills-based-hiring-2024</w:t>
      </w:r>
    </w:p>
    <w:p>
      <w:pPr>
        <w:spacing w:after="200" w:line="240" w:lineRule="auto"/>
        <w:ind w:left="720" w:hanging="720"/>
        <w:jc w:val="left"/>
      </w:pPr>
      <w:r>
        <w:rPr>
          <w:rFonts w:ascii="Times New Roman" w:cs="Times New Roman" w:eastAsia="Times New Roman" w:hAnsi="Times New Roman"/>
          <w:sz w:val="24"/>
          <w:szCs w:val="24"/>
        </w:rPr>
        <w:t xml:space="preserve">Sun, Q., Xue, Y., &amp; Song, Z. (2024). Adaptive user interface generation through reinforcement learning: A data-driven approach to personalization and optimization. IEEE. https://ieeexplore.ieee.org/document/10913228</w:t>
      </w:r>
    </w:p>
    <w:p>
      <w:pPr>
        <w:spacing w:after="200" w:line="240" w:lineRule="auto"/>
        <w:ind w:left="720" w:hanging="720"/>
        <w:jc w:val="left"/>
      </w:pPr>
      <w:r>
        <w:rPr>
          <w:rFonts w:ascii="Times New Roman" w:cs="Times New Roman" w:eastAsia="Times New Roman" w:hAnsi="Times New Roman"/>
          <w:sz w:val="24"/>
          <w:szCs w:val="24"/>
        </w:rPr>
        <w:t xml:space="preserve">Thakur, N., Reimers, N., Rücklé, A., Srivastava, A., &amp; Gurevych, I. (2021). BEIR: A heterogeneous benchmark for zero-shot evaluation of information retrieval models. Proceedings of the 35th Conference on Neural Information Processing Systems (NeurIPS 2021), 1–15. https://arxiv.org/abs/2104.08663</w:t>
      </w:r>
    </w:p>
    <w:p>
      <w:pPr>
        <w:spacing w:after="200" w:line="240" w:lineRule="auto"/>
        <w:ind w:left="720" w:hanging="720"/>
        <w:jc w:val="left"/>
      </w:pPr>
      <w:r>
        <w:rPr>
          <w:rFonts w:ascii="Times New Roman" w:cs="Times New Roman" w:eastAsia="Times New Roman" w:hAnsi="Times New Roman"/>
          <w:sz w:val="24"/>
          <w:szCs w:val="24"/>
        </w:rPr>
        <w:t xml:space="preserve">Vivek, S. (2023). Algorithmic management and its impact on Global South labor markets. Foundation for Labor Research. https://hdl.handle.net/10520/ejc-aa_jgida1_v15_n1_a15</w:t>
      </w:r>
    </w:p>
    <w:p>
      <w:pPr>
        <w:spacing w:after="200" w:line="240" w:lineRule="auto"/>
        <w:ind w:left="720" w:hanging="720"/>
        <w:jc w:val="left"/>
      </w:pPr>
      <w:r>
        <w:rPr>
          <w:rFonts w:ascii="Times New Roman" w:cs="Times New Roman" w:eastAsia="Times New Roman" w:hAnsi="Times New Roman"/>
          <w:sz w:val="24"/>
          <w:szCs w:val="24"/>
        </w:rPr>
        <w:t xml:space="preserve">Wu, Z., Pan, S., Chen, F., Long, G., Zhang, C., &amp; Yu, P. S. (2021). A comprehensive survey on graph neural networks. IEEE Transactions on Neural Networks and Learning Systems, 32(1), 4–24. https://doi.org/10.1109/TNNLS.2020.2978386</w:t>
      </w:r>
    </w:p>
    <w:p>
      <w:pPr>
        <w:spacing w:after="200" w:line="240" w:lineRule="auto"/>
        <w:ind w:left="720" w:hanging="720"/>
        <w:jc w:val="left"/>
      </w:pPr>
      <w:r>
        <w:rPr>
          <w:rFonts w:ascii="Times New Roman" w:cs="Times New Roman" w:eastAsia="Times New Roman" w:hAnsi="Times New Roman"/>
          <w:sz w:val="24"/>
          <w:szCs w:val="24"/>
        </w:rPr>
        <w:t xml:space="preserve">Zhang, Y., &amp; Chen, X. (2020). Explainable recommendation: A survey and new perspectives. Foundations and Trends in Information Retrieval, 14(1), 1–101. https://arxiv.org/abs/1804.11192</w:t>
      </w:r>
    </w:p>
    <w:sectPr>
      <w:headerReference w:type="default" r:id="rId7"/>
      <w:pgSz w:w="11908" w:h="16833"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2026-08-28T05:06:57.767Z</dcterms:created>
  <dcterms:modified xsi:type="dcterms:W3CDTF">2026-08-28T05:06:57.768Z</dcterms:modified>
</cp:coreProperties>
</file>

<file path=docProps/custom.xml><?xml version="1.0" encoding="utf-8"?>
<Properties xmlns="http://schemas.openxmlformats.org/officeDocument/2006/custom-properties" xmlns:vt="http://schemas.openxmlformats.org/officeDocument/2006/docPropsVTypes"/>
</file>