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 v1.2 Governance &amp; Legal Artifacts</w:t>
      </w:r>
    </w:p>
    <w:p>
      <w:pPr>
        <w:pStyle w:val="Heading2"/>
      </w:pPr>
      <w:r>
        <w:t>Accountability–Load Matrix (Unified View)</w:t>
      </w:r>
    </w:p>
    <w:p>
      <w:r>
        <w:br/>
        <w:t>Purpose:</w:t>
        <w:br/>
        <w:t>This matrix translates ELI review outputs into governance-relevant insight without enabling individual discipline or surveillance.</w:t>
        <w:br/>
        <w:br/>
        <w:t>Axes:</w:t>
        <w:br/>
        <w:t>- Vertical: Epistemic Load (Low / Moderate / High)</w:t>
        <w:br/>
        <w:t>- Horizontal: Accountability Determination (No Deviation / Possible Deviation / Clear Deviation)</w:t>
        <w:br/>
        <w:br/>
        <w:t>Interpretive Use:</w:t>
        <w:br/>
        <w:t>The matrix supports leadership discussion about system stress, risk concentration, and remediation focus.</w:t>
        <w:br/>
        <w:t>It does not assign blame or determine liability.</w:t>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No Deviation Identified</w:t>
            </w:r>
          </w:p>
        </w:tc>
        <w:tc>
          <w:tcPr>
            <w:tcW w:type="dxa" w:w="2160"/>
          </w:tcPr>
          <w:p>
            <w:r>
              <w:t>Possible Deviation</w:t>
            </w:r>
          </w:p>
        </w:tc>
        <w:tc>
          <w:tcPr>
            <w:tcW w:type="dxa" w:w="2160"/>
          </w:tcPr>
          <w:p>
            <w:r>
              <w:t>Clear Deviation</w:t>
            </w:r>
          </w:p>
        </w:tc>
      </w:tr>
      <w:tr>
        <w:tc>
          <w:tcPr>
            <w:tcW w:type="dxa" w:w="2160"/>
          </w:tcPr>
          <w:p>
            <w:r>
              <w:t>High Epistemic Load</w:t>
            </w:r>
          </w:p>
        </w:tc>
        <w:tc>
          <w:tcPr>
            <w:tcW w:type="dxa" w:w="2160"/>
          </w:tcPr>
          <w:p>
            <w:r>
              <w:t>System Stress Hotspot</w:t>
              <w:br/>
              <w:t>(System-driven complexity; monitor infrastructure)</w:t>
            </w:r>
          </w:p>
        </w:tc>
        <w:tc>
          <w:tcPr>
            <w:tcW w:type="dxa" w:w="2160"/>
          </w:tcPr>
          <w:p>
            <w:r>
              <w:t>Mixed-Risk Case</w:t>
              <w:br/>
              <w:t>(Targeted system + process review)</w:t>
            </w:r>
          </w:p>
        </w:tc>
        <w:tc>
          <w:tcPr>
            <w:tcW w:type="dxa" w:w="2160"/>
          </w:tcPr>
          <w:p>
            <w:r>
              <w:t>Rare but Critical</w:t>
              <w:br/>
              <w:t>(Serious event under extreme conditions)</w:t>
            </w:r>
          </w:p>
        </w:tc>
      </w:tr>
      <w:tr>
        <w:tc>
          <w:tcPr>
            <w:tcW w:type="dxa" w:w="2160"/>
          </w:tcPr>
          <w:p>
            <w:r>
              <w:t>Moderate Epistemic Load</w:t>
            </w:r>
          </w:p>
        </w:tc>
        <w:tc>
          <w:tcPr>
            <w:tcW w:type="dxa" w:w="2160"/>
          </w:tcPr>
          <w:p>
            <w:r>
              <w:t>Watch Zone</w:t>
              <w:br/>
              <w:t>(Emerging constraints)</w:t>
            </w:r>
          </w:p>
        </w:tc>
        <w:tc>
          <w:tcPr>
            <w:tcW w:type="dxa" w:w="2160"/>
          </w:tcPr>
          <w:p>
            <w:r>
              <w:t>Priority Review</w:t>
              <w:br/>
              <w:t>(Clarify standards &amp; supports)</w:t>
            </w:r>
          </w:p>
        </w:tc>
        <w:tc>
          <w:tcPr>
            <w:tcW w:type="dxa" w:w="2160"/>
          </w:tcPr>
          <w:p>
            <w:r>
              <w:t>Individual / System Interface</w:t>
              <w:br/>
              <w:t>(Focused accountability)</w:t>
            </w:r>
          </w:p>
        </w:tc>
      </w:tr>
      <w:tr>
        <w:tc>
          <w:tcPr>
            <w:tcW w:type="dxa" w:w="2160"/>
          </w:tcPr>
          <w:p>
            <w:r>
              <w:t>Low Epistemic Load</w:t>
            </w:r>
          </w:p>
        </w:tc>
        <w:tc>
          <w:tcPr>
            <w:tcW w:type="dxa" w:w="2160"/>
          </w:tcPr>
          <w:p>
            <w:r>
              <w:t>Routine Review</w:t>
            </w:r>
          </w:p>
        </w:tc>
        <w:tc>
          <w:tcPr>
            <w:tcW w:type="dxa" w:w="2160"/>
          </w:tcPr>
          <w:p>
            <w:r>
              <w:t>Likely Performance Issue</w:t>
            </w:r>
          </w:p>
        </w:tc>
        <w:tc>
          <w:tcPr>
            <w:tcW w:type="dxa" w:w="2160"/>
          </w:tcPr>
          <w:p>
            <w:r>
              <w:t>High Liability Risk</w:t>
              <w:br/>
              <w:t>(Clear deviation)</w:t>
            </w:r>
          </w:p>
        </w:tc>
      </w:tr>
    </w:tbl>
    <w:p>
      <w:pPr>
        <w:pStyle w:val="Heading2"/>
      </w:pPr>
      <w:r>
        <w:t>Standardized Language Output — Sample Report</w:t>
      </w:r>
    </w:p>
    <w:p>
      <w:r>
        <w:br/>
        <w:t>The following is an example of a legally vetted ELI output statement generated by the system.</w:t>
        <w:br/>
        <w:t>This language is designed to be inserted directly into a case review summary.</w:t>
        <w:br/>
      </w:r>
    </w:p>
    <w:p>
      <w:r>
        <w:br/>
        <w:t>ELI Review Summary (Excerpt)</w:t>
        <w:br/>
        <w:br/>
        <w:t>This case occurred under High Epistemic Load, characterized by incomplete data availability at the time of decision, conflicting guideline applicability, and significant time pressure due to rapid physiologic deterioration.</w:t>
        <w:br/>
        <w:br/>
        <w:t>The Epistemic Load Index classifies the decision environment only and does not assess risk, foreseeability, probability of harm, or fault. Decisions are evaluated relative to the information and constraints present at the time, independent of outcome.</w:t>
        <w:br/>
        <w:br/>
        <w:t>Following independent review, evidence did not identify deviation from reasonable care given the epistemic conditions present. System-level contributors, including diagnostic data latency and operational throughput constraints, have been referred for process review.</w:t>
        <w:br/>
      </w:r>
    </w:p>
    <w:p>
      <w:pPr>
        <w:pStyle w:val="Heading2"/>
      </w:pPr>
      <w:r>
        <w:t>Legal &amp; Governance Guardrails (Embedded)</w:t>
      </w:r>
    </w:p>
    <w:p>
      <w:r>
        <w:br/>
        <w:t>- ELI outputs are interpretive, not adjudicative.</w:t>
        <w:br/>
        <w:t>- Environmental Friction Logs are excluded from liability determinations.</w:t>
        <w:br/>
        <w:t>- Aggregate insights are system-level only; individual trend analysis is prohibited.</w:t>
        <w:br/>
        <w:t>- Use is suspended if applied prospectively or for performance scoring.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