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柔性支撑空间机器人耦合动力学与学习增强阻抗控制"/>
    <w:p>
      <w:pPr>
        <w:pStyle w:val="Title"/>
        <w:widowControl/>
        <w:jc w:val="center"/>
      </w:pPr>
      <w:r>
        <w:rPr>
          <w:rFonts w:hint="eastAsia"/>
        </w:rPr>
        <w:t xml:space="preserve">柔性支撑空间机器人耦合动力学与学习增强阻抗控制</w:t>
      </w:r>
    </w:p>
    <w:p>
      <w:pPr>
        <w:pStyle w:val="FirstParagraph"/>
        <w:widowControl/>
        <w:ind w:firstLine="0"/>
        <w:jc w:val="center"/>
      </w:pPr>
      <w:r>
        <w:rPr>
          <w:rFonts w:hint="eastAsia"/>
        </w:rPr>
        <w:t xml:space="preserve">航空航天结构力学及控制全国重点实验室开放课题</w:t>
      </w:r>
      <w:r>
        <w:t xml:space="preserve">　</w:t>
      </w:r>
      <w:r>
        <w:rPr>
          <w:rFonts w:hint="eastAsia"/>
        </w:rPr>
        <w:t xml:space="preserve">重点课题</w:t>
      </w:r>
    </w:p>
    <w:bookmarkEnd w:id="9"/>
    <w:bookmarkStart w:id="68" w:name="一立项依据与研究内容"/>
    <w:p>
      <w:pPr>
        <w:pStyle w:val="Heading1"/>
        <w:widowControl/>
      </w:pPr>
      <w:r>
        <w:rPr>
          <w:rFonts w:hint="eastAsia"/>
        </w:rPr>
        <w:t xml:space="preserve">一、立项依据与研究内容</w:t>
      </w:r>
    </w:p>
    <w:bookmarkStart w:id="31" w:name="项目的立项依据"/>
    <w:p>
      <w:pPr>
        <w:pStyle w:val="Heading2"/>
        <w:widowControl/>
      </w:pPr>
      <w:r>
        <w:t xml:space="preserve">1. </w:t>
      </w:r>
      <w:r>
        <w:rPr>
          <w:rFonts w:hint="eastAsia"/>
        </w:rPr>
        <w:t xml:space="preserve">项目的立项依据</w:t>
      </w:r>
    </w:p>
    <w:bookmarkStart w:id="10" w:name="研究意义"/>
    <w:p>
      <w:pPr>
        <w:pStyle w:val="Heading3"/>
        <w:widowControl/>
      </w:pPr>
      <w:r>
        <w:t xml:space="preserve">1.1　</w:t>
      </w:r>
      <w:r>
        <w:rPr>
          <w:rFonts w:hint="eastAsia"/>
        </w:rPr>
        <w:t xml:space="preserve">研究意义</w:t>
      </w:r>
    </w:p>
    <w:p>
      <w:pPr>
        <w:pStyle w:val="FirstParagraph"/>
        <w:widowControl/>
        <w:ind w:firstLine="480"/>
        <w:jc w:val="both"/>
      </w:pPr>
      <w:r>
        <w:rPr>
          <w:rFonts w:hint="eastAsia"/>
        </w:rPr>
        <w:t xml:space="preserve">大型空间天线、空间太阳能电站等装备向大尺度、轻量化发展，使机器人在轨组装成为突破运载包络限制的重要途径。机器人依附已建桁架搬运和安装模块时，支撑结构的弹性变形直接影响运动精度，亟需解决有限结构刚度和不完备动力学模型条件下的准确作业问题[1,2]。</w:t>
      </w:r>
    </w:p>
    <w:p>
      <w:pPr>
        <w:pStyle w:val="BodyText"/>
        <w:widowControl/>
        <w:ind w:firstLine="480"/>
        <w:jc w:val="both"/>
      </w:pPr>
      <w:r>
        <w:rPr>
          <w:rFonts w:hint="eastAsia"/>
        </w:rPr>
        <w:t xml:space="preserve">本项目关注柔性桁架支撑下多自由度机器人的精确运动与典型接口柔顺对接。关节反作用载荷激励桁架振动，安装点运动又传递至作业端，形成双向耦合。惯性、负载、摩擦与执行时延等偏差进一步降低实际控制精度。提高反馈刚度虽可减小部分运动误差，却可能放大结构激励，影响接触柔顺性。</w:t>
      </w:r>
    </w:p>
    <w:p>
      <w:pPr>
        <w:pStyle w:val="BodyText"/>
        <w:widowControl/>
        <w:ind w:firstLine="480"/>
        <w:jc w:val="both"/>
      </w:pPr>
      <w:r>
        <w:rPr>
          <w:rFonts w:hint="eastAsia"/>
        </w:rPr>
        <w:t xml:space="preserve">以作业端为浮动根的倒置建模、特殊欧氏群</w:t>
      </w:r>
      <m:oMath>
        <m:r>
          <m:rPr>
            <m:sty m:val="p"/>
          </m:rPr>
          <m:t>S</m:t>
        </m:r>
        <m:r>
          <m:rPr>
            <m:sty m:val="p"/>
          </m:rPr>
          <m:t>E</m:t>
        </m:r>
        <m:r>
          <m:rPr>
            <m:sty m:val="p"/>
          </m:rPr>
          <m:t>(</m:t>
        </m:r>
        <m:r>
          <m:t>3</m:t>
        </m:r>
        <m:r>
          <m:rPr>
            <m:sty m:val="p"/>
          </m:rPr>
          <m:t>)</m:t>
        </m:r>
      </m:oMath>
      <w:r>
        <w:rPr>
          <w:rFonts w:hint="eastAsia"/>
        </w:rPr>
        <w:t xml:space="preserve">上的阻抗设计与动力学二次规划（QP），为末端位姿控制和驱动约束协调提供了模型框架。但固定基座条件下的学习补偿难以直接适应柔性支撑，优化求解后的力矩叠加也可能改变已规划的阻抗响应与约束满足情况。</w:t>
      </w:r>
    </w:p>
    <w:p>
      <w:pPr>
        <w:pStyle w:val="BodyText"/>
        <w:widowControl/>
        <w:ind w:firstLine="480"/>
        <w:jc w:val="both"/>
      </w:pPr>
      <w:r>
        <w:rPr>
          <w:rFonts w:hint="eastAsia"/>
        </w:rPr>
        <w:t xml:space="preserve">因此，本项目拟研究与动力学约束和阻抗目标相容的残差补偿，改善柔性支撑上的运动精度与结构响应，并结合接触几何开展位姿修正和阻抗对接，为典型组装作业提供控制方法。</w:t>
      </w:r>
    </w:p>
    <w:bookmarkEnd w:id="10"/>
    <w:bookmarkStart w:id="15" w:name="国内外研究现状及发展动态"/>
    <w:p>
      <w:pPr>
        <w:pStyle w:val="Heading3"/>
        <w:widowControl/>
      </w:pPr>
      <w:r>
        <w:t xml:space="preserve">1.2　</w:t>
      </w:r>
      <w:r>
        <w:rPr>
          <w:rFonts w:hint="eastAsia"/>
        </w:rPr>
        <w:t xml:space="preserve">国内外研究现状及发展动态</w:t>
      </w:r>
    </w:p>
    <w:bookmarkStart w:id="11" w:name="柔性结构与空间机器人的耦合动力学"/>
    <w:p>
      <w:pPr>
        <w:pStyle w:val="Heading4"/>
        <w:widowControl/>
      </w:pPr>
      <w:r>
        <w:rPr>
          <w:rFonts w:hint="eastAsia"/>
        </w:rPr>
        <w:t xml:space="preserve">（1）柔性结构与空间机器人的耦合动力学</w:t>
      </w:r>
    </w:p>
    <w:p>
      <w:pPr>
        <w:pStyle w:val="FirstParagraph"/>
        <w:widowControl/>
        <w:ind w:firstLine="480"/>
        <w:jc w:val="both"/>
      </w:pPr>
      <w:r>
        <w:rPr>
          <w:rFonts w:hint="eastAsia"/>
        </w:rPr>
        <w:t xml:space="preserve">空间机器人动力学研究已形成多体建模、动量耦合分析和操作控制等基础方法[3]。面向大型柔性结构，模态缩减可在保留主要弹性效应的同时降低计算量，Sonneville等对相关方法及其多体应用进行了研究[4]。Ni等进一步分析了柔性机械臂动态边界与模态选取的关系，其算例说明，模型精度应结合具体工况和频段判断，适当的定常模态近似也可能满足分析需求[5]。</w:t>
      </w:r>
    </w:p>
    <w:p>
      <w:pPr>
        <w:pStyle w:val="BodyText"/>
        <w:widowControl/>
        <w:ind w:firstLine="480"/>
        <w:jc w:val="both"/>
      </w:pPr>
      <w:r>
        <w:rPr>
          <w:rFonts w:hint="eastAsia"/>
        </w:rPr>
        <w:t xml:space="preserve">已有模型用于实际运控仍需统一传感、控制坐标和驱动力矩。倒置模型的计算根位于作业端，物理支撑作用于安装端；固定基座参数修正难以替代这一耦合关系，单纯给定安装端扰动也不足以评价机器人对结构的反向作用。</w:t>
      </w:r>
    </w:p>
    <w:bookmarkEnd w:id="11"/>
    <w:bookmarkStart w:id="12" w:name="几何阻抗控制与运动振动协调"/>
    <w:p>
      <w:pPr>
        <w:pStyle w:val="Heading4"/>
        <w:widowControl/>
      </w:pPr>
      <w:r>
        <w:rPr>
          <w:rFonts w:hint="eastAsia"/>
        </w:rPr>
        <w:t xml:space="preserve">（2）几何阻抗控制与运动振动协调</w:t>
      </w:r>
    </w:p>
    <w:p>
      <w:pPr>
        <w:pStyle w:val="FirstParagraph"/>
        <w:widowControl/>
        <w:ind w:firstLine="480"/>
        <w:jc w:val="both"/>
      </w:pPr>
      <w:r>
        <w:rPr>
          <w:rFonts w:hint="eastAsia"/>
        </w:rPr>
        <w:t xml:space="preserve">阻抗控制通过设计运动误差与作用力之间的动态关系组织机器人响应。Kim等利用</w:t>
      </w:r>
      <m:oMath>
        <m:r>
          <m:rPr>
            <m:sty m:val="p"/>
          </m:rPr>
          <m:t>S</m:t>
        </m:r>
        <m:r>
          <m:rPr>
            <m:sty m:val="p"/>
          </m:rPr>
          <m:t>E</m:t>
        </m:r>
        <m:r>
          <m:rPr>
            <m:sty m:val="p"/>
          </m:rPr>
          <m:t>(</m:t>
        </m:r>
        <m:r>
          <m:t>3</m:t>
        </m:r>
        <m:r>
          <m:rPr>
            <m:sty m:val="p"/>
          </m:rPr>
          <m:t>)</m:t>
        </m:r>
      </m:oMath>
      <w:r>
        <w:rPr>
          <w:rFonts w:hint="eastAsia"/>
        </w:rPr>
        <w:t xml:space="preserve">与其李代数之间的映射，在指数坐标中设计六自由度阻抗，并给出映射微分及其时间导数，为位姿统一控制提供了方法[6]。在柔性支撑机器人研究中，Nenchev等提出反作用零空间控制，利用机械臂运动调节支撑结构振动[7]；Patel和Damaren结合柔性坐标估计开展末端与振动控制，验证了柔性状态反馈的作用[8]。</w:t>
      </w:r>
    </w:p>
    <w:p>
      <w:pPr>
        <w:pStyle w:val="BodyText"/>
        <w:widowControl/>
        <w:ind w:firstLine="480"/>
        <w:jc w:val="both"/>
      </w:pPr>
      <w:r>
        <w:rPr>
          <w:rFonts w:hint="eastAsia"/>
        </w:rPr>
        <w:t xml:space="preserve">上述方法在受约束实际系统中的结合仍需研究。阻抗参考未必满足欠驱动动力学、关节与力矩边界，约束激活时的跟踪放松又会改变实际响应，需通过优化协调运动、结构响应及驱动能力，明确模型误差下的适用条件。</w:t>
      </w:r>
    </w:p>
    <w:bookmarkEnd w:id="12"/>
    <w:bookmarkStart w:id="13" w:name="模型引导的残差强化学习"/>
    <w:p>
      <w:pPr>
        <w:pStyle w:val="Heading4"/>
        <w:widowControl/>
      </w:pPr>
      <w:r>
        <w:rPr>
          <w:rFonts w:hint="eastAsia"/>
        </w:rPr>
        <w:t xml:space="preserve">（3）模型引导的残差强化学习</w:t>
      </w:r>
    </w:p>
    <w:p>
      <w:pPr>
        <w:pStyle w:val="FirstParagraph"/>
        <w:widowControl/>
        <w:ind w:firstLine="480"/>
        <w:jc w:val="both"/>
      </w:pPr>
      <w:r>
        <w:rPr>
          <w:rFonts w:hint="eastAsia"/>
        </w:rPr>
        <w:t xml:space="preserve">残差强化学习保留已有控制器，只学习其未能充分补偿的控制作用。Johannink等将传统反馈与学习残差结合，在实际装配任务中验证了这一思路[9]。Li等利用历史数据构造增量系统，研究了高维机器人跟踪的残差学习方法及稳定性问题[10]。相关综述进一步指出，学习效果、模型不确定性、物理约束和闭环稳定性需要联合考虑[11]。</w:t>
      </w:r>
    </w:p>
    <w:p>
      <w:pPr>
        <w:pStyle w:val="BodyText"/>
        <w:widowControl/>
        <w:ind w:firstLine="480"/>
        <w:jc w:val="both"/>
      </w:pPr>
      <w:r>
        <w:rPr>
          <w:rFonts w:hint="eastAsia"/>
        </w:rPr>
        <w:t xml:space="preserve">团队已开展微分动态规划（DDP）引导残差学习，以轨迹和局部价值信息组织训练，通过双端点残差衔接低频策略与高频控制，并完成Panda实验。本项目名义控制变为阻抗–QP，需面向动态约束和柔性支撑重建学习与控制的联系。</w:t>
      </w:r>
    </w:p>
    <w:bookmarkEnd w:id="13"/>
    <w:bookmarkStart w:id="14" w:name="研究切入点"/>
    <w:p>
      <w:pPr>
        <w:pStyle w:val="Heading4"/>
        <w:widowControl/>
      </w:pPr>
      <w:r>
        <w:rPr>
          <w:rFonts w:hint="eastAsia"/>
        </w:rPr>
        <w:t xml:space="preserve">（4）研究切入点</w:t>
      </w:r>
    </w:p>
    <w:p>
      <w:pPr>
        <w:pStyle w:val="FirstParagraph"/>
        <w:widowControl/>
        <w:ind w:firstLine="480"/>
        <w:jc w:val="both"/>
      </w:pPr>
      <w:r>
        <w:rPr>
          <w:rFonts w:hint="eastAsia"/>
        </w:rPr>
        <w:t xml:space="preserve">本项目从柔性支撑作用的动力学表征、残差补偿与受约束阻抗响应的相容性切入，研究运动精度与振动的协调，并结合接触几何开展参考修正与柔顺对接。团队的模块组装实验和空间多柔体缩比建模成果[12,13]为地面验证提供基础。</w:t>
      </w:r>
    </w:p>
    <w:bookmarkEnd w:id="14"/>
    <w:bookmarkEnd w:id="15"/>
    <w:bookmarkStart w:id="30" w:name="与申请指南的关系"/>
    <w:p>
      <w:pPr>
        <w:pStyle w:val="Heading3"/>
        <w:widowControl/>
      </w:pPr>
      <w:r>
        <w:t xml:space="preserve">1.3　</w:t>
      </w:r>
      <w:r>
        <w:rPr>
          <w:rFonts w:hint="eastAsia"/>
        </w:rPr>
        <w:t xml:space="preserve">与申请指南的关系</w:t>
      </w:r>
    </w:p>
    <w:p>
      <w:pPr>
        <w:pStyle w:val="FirstParagraph"/>
        <w:widowControl/>
        <w:ind w:firstLine="480"/>
        <w:jc w:val="both"/>
      </w:pPr>
      <w:r>
        <w:rPr>
          <w:rFonts w:hint="eastAsia"/>
        </w:rPr>
        <w:t xml:space="preserve">本项目主要对应指南2.5</w:t>
      </w:r>
      <w:r>
        <w:rPr>
          <w:rFonts w:hint="eastAsia"/>
        </w:rPr>
        <w:t xml:space="preserve">“闭环系统模型辨识、分析与控制”</w:t>
      </w:r>
      <w:r>
        <w:rPr>
          <w:rFonts w:hint="eastAsia"/>
        </w:rPr>
        <w:t xml:space="preserve">，面向强耦合、多振动模态及多源不确定性，研究结合深度强化学习的动力学残差表征、闭环分析与运动控制；同时呼应2.2</w:t>
      </w:r>
      <w:r>
        <w:rPr>
          <w:rFonts w:hint="eastAsia"/>
        </w:rPr>
        <w:t xml:space="preserve">“轻质柔性结构动力学设计与分析”</w:t>
      </w:r>
      <w:r>
        <w:rPr>
          <w:rFonts w:hint="eastAsia"/>
        </w:rPr>
        <w:t xml:space="preserve">中的在轨组装、刚柔耦合动力学与振动抑制。研究限定于单机器人、既定连接构型和若干代表性支撑状态，以位姿保持、轨迹跟踪和典型接口对接构成验证任务，适应两年重点开放课题的实施条件。</w:t>
      </w:r>
    </w:p>
    <w:bookmarkStart w:id="29" w:name="主要参考文献"/>
    <w:p>
      <w:pPr>
        <w:pStyle w:val="Heading4"/>
        <w:widowControl/>
      </w:pPr>
      <w:r>
        <w:rPr>
          <w:rFonts w:hint="eastAsia"/>
        </w:rPr>
        <w:t xml:space="preserve">主要参考文献</w:t>
      </w:r>
    </w:p>
    <w:p>
      <w:pPr>
        <w:pStyle w:val="FirstParagraph"/>
        <w:widowControl/>
        <w:spacing w:line="300" w:lineRule="exact" w:after="80"/>
        <w:ind w:firstLine="0"/>
        <w:jc w:val="both"/>
      </w:pPr>
      <w:r>
        <w:rPr>
          <w:sz w:val="20"/>
        </w:rPr>
        <w:t xml:space="preserve">[1] </w:t>
      </w:r>
      <w:r>
        <w:rPr>
          <w:rFonts w:hint="eastAsia"/>
          <w:sz w:val="20"/>
        </w:rPr>
        <w:t xml:space="preserve">胡海岩,</w:t>
      </w:r>
      <w:r>
        <w:rPr>
          <w:sz w:val="20"/>
        </w:rPr>
        <w:t xml:space="preserve"> </w:t>
      </w:r>
      <w:r>
        <w:rPr>
          <w:rFonts w:hint="eastAsia"/>
          <w:sz w:val="20"/>
        </w:rPr>
        <w:t xml:space="preserve">田强,</w:t>
      </w:r>
      <w:r>
        <w:rPr>
          <w:sz w:val="20"/>
        </w:rPr>
        <w:t xml:space="preserve"> </w:t>
      </w:r>
      <w:r>
        <w:rPr>
          <w:rFonts w:hint="eastAsia"/>
          <w:sz w:val="20"/>
        </w:rPr>
        <w:t xml:space="preserve">文浩,</w:t>
      </w:r>
      <w:r>
        <w:rPr>
          <w:sz w:val="20"/>
        </w:rPr>
        <w:t xml:space="preserve"> </w:t>
      </w:r>
      <w:r>
        <w:rPr>
          <w:rFonts w:hint="eastAsia"/>
          <w:sz w:val="20"/>
        </w:rPr>
        <w:t xml:space="preserve">罗凯,</w:t>
      </w:r>
      <w:r>
        <w:rPr>
          <w:sz w:val="20"/>
        </w:rPr>
        <w:t xml:space="preserve"> </w:t>
      </w:r>
      <w:r>
        <w:rPr>
          <w:rFonts w:hint="eastAsia"/>
          <w:sz w:val="20"/>
        </w:rPr>
        <w:t xml:space="preserve">马小飞.</w:t>
      </w:r>
      <w:r>
        <w:rPr>
          <w:sz w:val="20"/>
        </w:rPr>
        <w:t xml:space="preserve"> </w:t>
      </w:r>
      <w:r>
        <w:rPr>
          <w:rFonts w:hint="eastAsia"/>
          <w:sz w:val="20"/>
        </w:rPr>
        <w:t xml:space="preserve">极大空间结构在轨组装的动力学与控制[J].</w:t>
      </w:r>
      <w:r>
        <w:rPr>
          <w:sz w:val="20"/>
        </w:rPr>
        <w:t xml:space="preserve"> </w:t>
      </w:r>
      <w:r>
        <w:rPr>
          <w:rFonts w:hint="eastAsia"/>
          <w:sz w:val="20"/>
        </w:rPr>
        <w:t xml:space="preserve">力学进展,</w:t>
      </w:r>
      <w:r>
        <w:rPr>
          <w:sz w:val="20"/>
        </w:rPr>
        <w:t xml:space="preserve"> 2025, 55(1): 1–29. DOI:</w:t>
      </w:r>
      <w:r>
        <w:rPr>
          <w:sz w:val="20"/>
        </w:rPr>
        <w:t xml:space="preserve"> </w:t>
      </w:r>
      <w:hyperlink r:id="rId16">
        <w:r>
          <w:rPr>
            <w:rStyle w:val="Hyperlink"/>
          </w:rPr>
          <w:t xml:space="preserve">https://doi.org/10.6052/1000-0992-24-044</w:t>
        </w:r>
      </w:hyperlink>
      <w:r>
        <w:rPr>
          <w:sz w:val="20"/>
        </w:rPr>
        <w:t xml:space="preserve">.</w:t>
      </w:r>
    </w:p>
    <w:p>
      <w:pPr>
        <w:pStyle w:val="BodyText"/>
        <w:widowControl/>
        <w:spacing w:line="300" w:lineRule="exact" w:after="80"/>
        <w:ind w:firstLine="0"/>
        <w:jc w:val="both"/>
      </w:pPr>
      <w:r>
        <w:rPr>
          <w:sz w:val="20"/>
        </w:rPr>
        <w:t xml:space="preserve">[2] </w:t>
      </w:r>
      <w:r>
        <w:rPr>
          <w:rFonts w:hint="eastAsia"/>
          <w:sz w:val="20"/>
        </w:rPr>
        <w:t xml:space="preserve">吴志刚,</w:t>
      </w:r>
      <w:r>
        <w:rPr>
          <w:sz w:val="20"/>
        </w:rPr>
        <w:t xml:space="preserve"> </w:t>
      </w:r>
      <w:r>
        <w:rPr>
          <w:rFonts w:hint="eastAsia"/>
          <w:sz w:val="20"/>
        </w:rPr>
        <w:t xml:space="preserve">蒋建平,</w:t>
      </w:r>
      <w:r>
        <w:rPr>
          <w:sz w:val="20"/>
        </w:rPr>
        <w:t xml:space="preserve"> </w:t>
      </w:r>
      <w:r>
        <w:rPr>
          <w:rFonts w:hint="eastAsia"/>
          <w:sz w:val="20"/>
        </w:rPr>
        <w:t xml:space="preserve">邬树楠,</w:t>
      </w:r>
      <w:r>
        <w:rPr>
          <w:sz w:val="20"/>
        </w:rPr>
        <w:t xml:space="preserve"> </w:t>
      </w:r>
      <w:r>
        <w:rPr>
          <w:rFonts w:hint="eastAsia"/>
          <w:sz w:val="20"/>
        </w:rPr>
        <w:t xml:space="preserve">李庆军,</w:t>
      </w:r>
      <w:r>
        <w:rPr>
          <w:sz w:val="20"/>
        </w:rPr>
        <w:t xml:space="preserve"> </w:t>
      </w:r>
      <w:r>
        <w:rPr>
          <w:rFonts w:hint="eastAsia"/>
          <w:sz w:val="20"/>
        </w:rPr>
        <w:t xml:space="preserve">王兴,</w:t>
      </w:r>
      <w:r>
        <w:rPr>
          <w:sz w:val="20"/>
        </w:rPr>
        <w:t xml:space="preserve"> </w:t>
      </w:r>
      <w:r>
        <w:rPr>
          <w:rFonts w:hint="eastAsia"/>
          <w:sz w:val="20"/>
        </w:rPr>
        <w:t xml:space="preserve">谭述君,</w:t>
      </w:r>
      <w:r>
        <w:rPr>
          <w:sz w:val="20"/>
        </w:rPr>
        <w:t xml:space="preserve"> </w:t>
      </w:r>
      <w:r>
        <w:rPr>
          <w:rFonts w:hint="eastAsia"/>
          <w:sz w:val="20"/>
        </w:rPr>
        <w:t xml:space="preserve">邓子辰.</w:t>
      </w:r>
      <w:r>
        <w:rPr>
          <w:sz w:val="20"/>
        </w:rPr>
        <w:t xml:space="preserve"> </w:t>
      </w:r>
      <w:r>
        <w:rPr>
          <w:rFonts w:hint="eastAsia"/>
          <w:sz w:val="20"/>
        </w:rPr>
        <w:t xml:space="preserve">航天结构空间组装动力学与控制研究进展[J].</w:t>
      </w:r>
      <w:r>
        <w:rPr>
          <w:sz w:val="20"/>
        </w:rPr>
        <w:t xml:space="preserve"> </w:t>
      </w:r>
      <w:r>
        <w:rPr>
          <w:rFonts w:hint="eastAsia"/>
          <w:sz w:val="20"/>
        </w:rPr>
        <w:t xml:space="preserve">力学进展,</w:t>
      </w:r>
      <w:r>
        <w:rPr>
          <w:sz w:val="20"/>
        </w:rPr>
        <w:t xml:space="preserve"> 2024, 54(2): 344–390. DOI:</w:t>
      </w:r>
      <w:r>
        <w:rPr>
          <w:sz w:val="20"/>
        </w:rPr>
        <w:t xml:space="preserve"> </w:t>
      </w:r>
      <w:hyperlink r:id="rId17">
        <w:r>
          <w:rPr>
            <w:rStyle w:val="Hyperlink"/>
          </w:rPr>
          <w:t xml:space="preserve">https://doi.org/10.6052/1000-0992-23-041</w:t>
        </w:r>
      </w:hyperlink>
      <w:r>
        <w:rPr>
          <w:sz w:val="20"/>
        </w:rPr>
        <w:t xml:space="preserve">.</w:t>
      </w:r>
    </w:p>
    <w:p>
      <w:pPr>
        <w:pStyle w:val="BodyText"/>
        <w:widowControl/>
        <w:spacing w:line="300" w:lineRule="exact" w:after="80"/>
        <w:ind w:firstLine="0"/>
        <w:jc w:val="both"/>
      </w:pPr>
      <w:r>
        <w:rPr>
          <w:sz w:val="20"/>
        </w:rPr>
        <w:t xml:space="preserve">[3] Papadopoulos E, Aghili F, Ma O, Lampariello R. Robotic manipulation and capture in space: A survey[J]. Frontiers in Robotics and AI, 2021, 8: 686723. DOI:</w:t>
      </w:r>
      <w:r>
        <w:rPr>
          <w:sz w:val="20"/>
        </w:rPr>
        <w:t xml:space="preserve"> </w:t>
      </w:r>
      <w:hyperlink r:id="rId18">
        <w:r>
          <w:rPr>
            <w:rStyle w:val="Hyperlink"/>
          </w:rPr>
          <w:t xml:space="preserve">https://doi.org/10.3389/frobt.2021.686723</w:t>
        </w:r>
      </w:hyperlink>
      <w:r>
        <w:rPr>
          <w:sz w:val="20"/>
        </w:rPr>
        <w:t xml:space="preserve">.</w:t>
      </w:r>
    </w:p>
    <w:p>
      <w:pPr>
        <w:pStyle w:val="BodyText"/>
        <w:widowControl/>
        <w:spacing w:line="300" w:lineRule="exact" w:after="80"/>
        <w:ind w:firstLine="0"/>
        <w:jc w:val="both"/>
      </w:pPr>
      <w:r>
        <w:rPr>
          <w:sz w:val="20"/>
        </w:rPr>
        <w:t xml:space="preserve">[4] Sonneville V, Scapolan M, Shan M, Bauchau O A. Modal reduction procedures for flexible multibody dynamics[J]. Multibody System Dynamics, 2021, 51(4): 377–418. DOI:</w:t>
      </w:r>
      <w:r>
        <w:rPr>
          <w:sz w:val="20"/>
        </w:rPr>
        <w:t xml:space="preserve"> </w:t>
      </w:r>
      <w:hyperlink r:id="rId19">
        <w:r>
          <w:rPr>
            <w:rStyle w:val="Hyperlink"/>
          </w:rPr>
          <w:t xml:space="preserve">https://doi.org/10.1007/s11044-020-09770-w</w:t>
        </w:r>
      </w:hyperlink>
      <w:r>
        <w:rPr>
          <w:sz w:val="20"/>
        </w:rPr>
        <w:t xml:space="preserve">.</w:t>
      </w:r>
    </w:p>
    <w:p>
      <w:pPr>
        <w:pStyle w:val="BodyText"/>
        <w:widowControl/>
        <w:spacing w:line="300" w:lineRule="exact" w:after="80"/>
        <w:ind w:firstLine="0"/>
        <w:jc w:val="both"/>
      </w:pPr>
      <w:r>
        <w:rPr>
          <w:sz w:val="20"/>
        </w:rPr>
        <w:t xml:space="preserve">[5] Ni S, Chen W, Chen T. Dynamic modeling and analysis of multi-flexible-link space manipulators under time-varying dynamic boundary conditions[J]. Advances in Space Research, 2024, 74(10): 5224–5243. DOI:</w:t>
      </w:r>
      <w:r>
        <w:rPr>
          <w:sz w:val="20"/>
        </w:rPr>
        <w:t xml:space="preserve"> </w:t>
      </w:r>
      <w:hyperlink r:id="rId20">
        <w:r>
          <w:rPr>
            <w:rStyle w:val="Hyperlink"/>
          </w:rPr>
          <w:t xml:space="preserve">https://doi.org/10.1016/j.asr.2024.07.067</w:t>
        </w:r>
      </w:hyperlink>
      <w:r>
        <w:rPr>
          <w:sz w:val="20"/>
        </w:rPr>
        <w:t xml:space="preserve">.</w:t>
      </w:r>
    </w:p>
    <w:p>
      <w:pPr>
        <w:pStyle w:val="BodyText"/>
        <w:widowControl/>
        <w:spacing w:line="300" w:lineRule="exact" w:after="80"/>
        <w:ind w:firstLine="0"/>
        <w:jc w:val="both"/>
      </w:pPr>
      <w:r>
        <w:rPr>
          <w:sz w:val="20"/>
        </w:rPr>
        <w:t xml:space="preserve">[6] Kim J, Sung M, Choi Y, Park J, Chung W K. Impedance control design framework using commutative map between</w:t>
      </w:r>
      <w:r>
        <w:rPr>
          <w:sz w:val="20"/>
        </w:rPr>
        <w:t xml:space="preserve"> </w:t>
      </w:r>
      <m:oMath>
        <m:r>
          <m:rPr>
            <m:sty m:val="p"/>
          </m:rPr>
          <m:t>S</m:t>
        </m:r>
        <m:r>
          <m:rPr>
            <m:sty m:val="p"/>
          </m:rPr>
          <m:t>E</m:t>
        </m:r>
        <m:r>
          <m:rPr>
            <m:sty m:val="p"/>
          </m:rPr>
          <m:t>(</m:t>
        </m:r>
        <m:r>
          <m:t>3</m:t>
        </m:r>
        <m:r>
          <m:rPr>
            <m:sty m:val="p"/>
          </m:rPr>
          <m:t>)</m:t>
        </m:r>
      </m:oMath>
      <w:r>
        <w:rPr>
          <w:sz w:val="20"/>
        </w:rPr>
        <w:t xml:space="preserve"> </w:t>
      </w:r>
      <w:r>
        <w:rPr>
          <w:sz w:val="20"/>
        </w:rPr>
        <w:t xml:space="preserve">and</w:t>
      </w:r>
      <w:r>
        <w:rPr>
          <w:sz w:val="20"/>
        </w:rPr>
        <w:t xml:space="preserve"> </w:t>
      </w:r>
      <m:oMath>
        <m:r>
          <m:rPr>
            <m:scr m:val="fraktur"/>
            <m:sty m:val="p"/>
          </m:rPr>
          <m:t>s</m:t>
        </m:r>
        <m:r>
          <m:rPr>
            <m:scr m:val="fraktur"/>
            <m:sty m:val="p"/>
          </m:rPr>
          <m:t>e</m:t>
        </m:r>
        <m:r>
          <m:rPr>
            <m:sty m:val="p"/>
          </m:rPr>
          <m:t>(</m:t>
        </m:r>
        <m:r>
          <m:t>3</m:t>
        </m:r>
        <m:r>
          <m:rPr>
            <m:sty m:val="p"/>
          </m:rPr>
          <m:t>)</m:t>
        </m:r>
      </m:oMath>
      <w:r>
        <w:rPr>
          <w:sz w:val="20"/>
        </w:rPr>
        <w:t xml:space="preserve">[J]. IEEE Transactions on Robotics, 2025, 41: 6193–6212. DOI:</w:t>
      </w:r>
      <w:r>
        <w:rPr>
          <w:sz w:val="20"/>
        </w:rPr>
        <w:t xml:space="preserve"> </w:t>
      </w:r>
      <w:hyperlink r:id="rId21">
        <w:r>
          <w:rPr>
            <w:rStyle w:val="Hyperlink"/>
          </w:rPr>
          <w:t xml:space="preserve">https://doi.org/10.1109/TRO.2025.3619066</w:t>
        </w:r>
      </w:hyperlink>
      <w:r>
        <w:rPr>
          <w:sz w:val="20"/>
        </w:rPr>
        <w:t xml:space="preserve">.</w:t>
      </w:r>
    </w:p>
    <w:p>
      <w:pPr>
        <w:pStyle w:val="BodyText"/>
        <w:widowControl/>
        <w:spacing w:line="300" w:lineRule="exact" w:after="80"/>
        <w:ind w:firstLine="0"/>
        <w:jc w:val="both"/>
      </w:pPr>
      <w:r>
        <w:rPr>
          <w:sz w:val="20"/>
        </w:rPr>
        <w:t xml:space="preserve">[7] Nenchev D N, Yoshida K, Vichitkulsawat P, Uchiyama M. Reaction null-space control of flexible structure mounted manipulator systems[J]. IEEE Transactions on Robotics and Automation, 1999, 15(6): 1011–1023. DOI:</w:t>
      </w:r>
      <w:r>
        <w:rPr>
          <w:sz w:val="20"/>
        </w:rPr>
        <w:t xml:space="preserve"> </w:t>
      </w:r>
      <w:hyperlink r:id="rId22">
        <w:r>
          <w:rPr>
            <w:rStyle w:val="Hyperlink"/>
          </w:rPr>
          <w:t xml:space="preserve">https://doi.org/10.1109/70.817666</w:t>
        </w:r>
      </w:hyperlink>
      <w:r>
        <w:rPr>
          <w:sz w:val="20"/>
        </w:rPr>
        <w:t xml:space="preserve">.</w:t>
      </w:r>
    </w:p>
    <w:p>
      <w:pPr>
        <w:pStyle w:val="BodyText"/>
        <w:widowControl/>
        <w:spacing w:line="300" w:lineRule="exact" w:after="80"/>
        <w:ind w:firstLine="0"/>
        <w:jc w:val="both"/>
      </w:pPr>
      <w:r>
        <w:rPr>
          <w:sz w:val="20"/>
        </w:rPr>
        <w:t xml:space="preserve">[8] Patel D, Damaren C J. Tip and vibration control of space robots using estimated flexible coordinates[J]. Frontiers in Space Technologies, 2024, 5: 1447545. DOI:</w:t>
      </w:r>
      <w:r>
        <w:rPr>
          <w:sz w:val="20"/>
        </w:rPr>
        <w:t xml:space="preserve"> </w:t>
      </w:r>
      <w:hyperlink r:id="rId23">
        <w:r>
          <w:rPr>
            <w:rStyle w:val="Hyperlink"/>
          </w:rPr>
          <w:t xml:space="preserve">https://doi.org/10.3389/frspt.2024.1447545</w:t>
        </w:r>
      </w:hyperlink>
      <w:r>
        <w:rPr>
          <w:sz w:val="20"/>
        </w:rPr>
        <w:t xml:space="preserve">.</w:t>
      </w:r>
    </w:p>
    <w:p>
      <w:pPr>
        <w:pStyle w:val="BodyText"/>
        <w:widowControl/>
        <w:spacing w:line="300" w:lineRule="exact" w:after="80"/>
        <w:ind w:firstLine="0"/>
        <w:jc w:val="both"/>
      </w:pPr>
      <w:r>
        <w:rPr>
          <w:sz w:val="20"/>
        </w:rPr>
        <w:t xml:space="preserve">[9] Johannink T, Bahl S, Nair A, Luo J, Kumar A, Loskyll M, Aparicio Ojea J, Solowjow E, Levine S. Residual reinforcement learning for robot control[EB/OL]. arXiv:1812.03201, 2018. DOI:</w:t>
      </w:r>
      <w:r>
        <w:rPr>
          <w:sz w:val="20"/>
        </w:rPr>
        <w:t xml:space="preserve"> </w:t>
      </w:r>
      <w:hyperlink r:id="rId24">
        <w:r>
          <w:rPr>
            <w:rStyle w:val="Hyperlink"/>
          </w:rPr>
          <w:t xml:space="preserve">https://doi.org/10.48550/arXiv.1812.03201</w:t>
        </w:r>
      </w:hyperlink>
      <w:r>
        <w:rPr>
          <w:sz w:val="20"/>
        </w:rPr>
        <w:t xml:space="preserve">.</w:t>
      </w:r>
    </w:p>
    <w:p>
      <w:pPr>
        <w:pStyle w:val="BodyText"/>
        <w:widowControl/>
        <w:spacing w:line="300" w:lineRule="exact" w:after="80"/>
        <w:ind w:firstLine="0"/>
        <w:jc w:val="both"/>
      </w:pPr>
      <w:r>
        <w:rPr>
          <w:sz w:val="20"/>
        </w:rPr>
        <w:t xml:space="preserve">[10] Li C, Liu F, Wang Y, Buss M. Data-informed residual reinforcement learning for high-dimensional robotic tracking control[J]. IEEE/ASME Transactions on Mechatronics, 2025, 30(3): 1681–1691. DOI:</w:t>
      </w:r>
      <w:r>
        <w:rPr>
          <w:sz w:val="20"/>
        </w:rPr>
        <w:t xml:space="preserve"> </w:t>
      </w:r>
      <w:hyperlink r:id="rId25">
        <w:r>
          <w:rPr>
            <w:rStyle w:val="Hyperlink"/>
          </w:rPr>
          <w:t xml:space="preserve">https://doi.org/10.1109/TMECH.2024.3412275</w:t>
        </w:r>
      </w:hyperlink>
      <w:r>
        <w:rPr>
          <w:sz w:val="20"/>
        </w:rPr>
        <w:t xml:space="preserve">.</w:t>
      </w:r>
    </w:p>
    <w:p>
      <w:pPr>
        <w:pStyle w:val="BodyText"/>
        <w:widowControl/>
        <w:spacing w:line="300" w:lineRule="exact" w:after="80"/>
        <w:ind w:firstLine="0"/>
        <w:jc w:val="both"/>
      </w:pPr>
      <w:r>
        <w:rPr>
          <w:sz w:val="20"/>
        </w:rPr>
        <w:t xml:space="preserve">[11] Brunke L, Greeff M, Hall A W, Yuan Z, Zhou S, Panerati J, Schoellig A P. Safe learning in robotics: From learning-based control to safe reinforcement learning[J]. Annual Review of Control, Robotics, and Autonomous Systems, 2022, 5: 411–444. DOI:</w:t>
      </w:r>
      <w:r>
        <w:rPr>
          <w:sz w:val="20"/>
        </w:rPr>
        <w:t xml:space="preserve"> </w:t>
      </w:r>
      <w:hyperlink r:id="rId26">
        <w:r>
          <w:rPr>
            <w:rStyle w:val="Hyperlink"/>
          </w:rPr>
          <w:t xml:space="preserve">https://doi.org/10.1146/annurev-control-042920-020211</w:t>
        </w:r>
      </w:hyperlink>
      <w:r>
        <w:rPr>
          <w:sz w:val="20"/>
        </w:rPr>
        <w:t xml:space="preserve">.</w:t>
      </w:r>
    </w:p>
    <w:p>
      <w:pPr>
        <w:pStyle w:val="BodyText"/>
        <w:widowControl/>
        <w:spacing w:line="300" w:lineRule="exact" w:after="80"/>
        <w:ind w:firstLine="0"/>
        <w:jc w:val="both"/>
      </w:pPr>
      <w:r>
        <w:rPr>
          <w:sz w:val="20"/>
        </w:rPr>
        <w:t xml:space="preserve">[12] </w:t>
      </w:r>
      <w:r>
        <w:rPr>
          <w:rFonts w:hint="eastAsia"/>
          <w:sz w:val="20"/>
        </w:rPr>
        <w:t xml:space="preserve">史玲玲,</w:t>
      </w:r>
      <w:r>
        <w:rPr>
          <w:sz w:val="20"/>
        </w:rPr>
        <w:t xml:space="preserve"> </w:t>
      </w:r>
      <w:r>
        <w:rPr>
          <w:rFonts w:hint="eastAsia"/>
          <w:sz w:val="20"/>
        </w:rPr>
        <w:t xml:space="preserve">肖晓龙,</w:t>
      </w:r>
      <w:r>
        <w:rPr>
          <w:sz w:val="20"/>
        </w:rPr>
        <w:t xml:space="preserve"> </w:t>
      </w:r>
      <w:r>
        <w:rPr>
          <w:rFonts w:hint="eastAsia"/>
          <w:sz w:val="20"/>
        </w:rPr>
        <w:t xml:space="preserve">张晓峰,</w:t>
      </w:r>
      <w:r>
        <w:rPr>
          <w:sz w:val="20"/>
        </w:rPr>
        <w:t xml:space="preserve"> </w:t>
      </w:r>
      <w:r>
        <w:rPr>
          <w:rFonts w:hint="eastAsia"/>
          <w:sz w:val="20"/>
        </w:rPr>
        <w:t xml:space="preserve">范立佳,</w:t>
      </w:r>
      <w:r>
        <w:rPr>
          <w:sz w:val="20"/>
        </w:rPr>
        <w:t xml:space="preserve"> </w:t>
      </w:r>
      <w:r>
        <w:rPr>
          <w:rFonts w:hint="eastAsia"/>
          <w:sz w:val="20"/>
        </w:rPr>
        <w:t xml:space="preserve">单明贺,</w:t>
      </w:r>
      <w:r>
        <w:rPr>
          <w:sz w:val="20"/>
        </w:rPr>
        <w:t xml:space="preserve"> </w:t>
      </w:r>
      <w:r>
        <w:rPr>
          <w:rFonts w:hint="eastAsia"/>
          <w:sz w:val="20"/>
        </w:rPr>
        <w:t xml:space="preserve">田强.</w:t>
      </w:r>
      <w:r>
        <w:rPr>
          <w:sz w:val="20"/>
        </w:rPr>
        <w:t xml:space="preserve"> </w:t>
      </w:r>
      <w:r>
        <w:rPr>
          <w:rFonts w:hint="eastAsia"/>
          <w:sz w:val="20"/>
        </w:rPr>
        <w:t xml:space="preserve">空间机器人在轨组装多模块单元的对接力控制与地面实验[J].</w:t>
      </w:r>
      <w:r>
        <w:rPr>
          <w:sz w:val="20"/>
        </w:rPr>
        <w:t xml:space="preserve"> </w:t>
      </w:r>
      <w:r>
        <w:rPr>
          <w:rFonts w:hint="eastAsia"/>
          <w:sz w:val="20"/>
        </w:rPr>
        <w:t xml:space="preserve">力学学报,</w:t>
      </w:r>
      <w:r>
        <w:rPr>
          <w:sz w:val="20"/>
        </w:rPr>
        <w:t xml:space="preserve"> 2024, 56(3): 800–816. DOI:</w:t>
      </w:r>
      <w:r>
        <w:rPr>
          <w:sz w:val="20"/>
        </w:rPr>
        <w:t xml:space="preserve"> </w:t>
      </w:r>
      <w:hyperlink r:id="rId27">
        <w:r>
          <w:rPr>
            <w:rStyle w:val="Hyperlink"/>
          </w:rPr>
          <w:t xml:space="preserve">https://doi.org/10.6052/0459-1879-23-458</w:t>
        </w:r>
      </w:hyperlink>
      <w:r>
        <w:rPr>
          <w:sz w:val="20"/>
        </w:rPr>
        <w:t xml:space="preserve">.</w:t>
      </w:r>
    </w:p>
    <w:p>
      <w:pPr>
        <w:pStyle w:val="BodyText"/>
        <w:widowControl/>
        <w:spacing w:line="300" w:lineRule="exact" w:after="80"/>
        <w:ind w:firstLine="0"/>
        <w:jc w:val="both"/>
      </w:pPr>
      <w:r>
        <w:rPr>
          <w:sz w:val="20"/>
        </w:rPr>
        <w:t xml:space="preserve">[13] </w:t>
      </w:r>
      <w:r>
        <w:rPr>
          <w:rFonts w:hint="eastAsia"/>
          <w:sz w:val="20"/>
        </w:rPr>
        <w:t xml:space="preserve">祁伊凡,</w:t>
      </w:r>
      <w:r>
        <w:rPr>
          <w:sz w:val="20"/>
        </w:rPr>
        <w:t xml:space="preserve"> </w:t>
      </w:r>
      <w:r>
        <w:rPr>
          <w:rFonts w:hint="eastAsia"/>
          <w:sz w:val="20"/>
        </w:rPr>
        <w:t xml:space="preserve">单明贺,</w:t>
      </w:r>
      <w:r>
        <w:rPr>
          <w:sz w:val="20"/>
        </w:rPr>
        <w:t xml:space="preserve"> </w:t>
      </w:r>
      <w:r>
        <w:rPr>
          <w:rFonts w:hint="eastAsia"/>
          <w:sz w:val="20"/>
        </w:rPr>
        <w:t xml:space="preserve">田强.</w:t>
      </w:r>
      <w:r>
        <w:rPr>
          <w:sz w:val="20"/>
        </w:rPr>
        <w:t xml:space="preserve"> </w:t>
      </w:r>
      <w:r>
        <w:rPr>
          <w:rFonts w:hint="eastAsia"/>
          <w:sz w:val="20"/>
        </w:rPr>
        <w:t xml:space="preserve">空间多柔体系统缩比等效动力学建模方法研究[J].</w:t>
      </w:r>
      <w:r>
        <w:rPr>
          <w:sz w:val="20"/>
        </w:rPr>
        <w:t xml:space="preserve"> </w:t>
      </w:r>
      <w:r>
        <w:rPr>
          <w:rFonts w:hint="eastAsia"/>
          <w:sz w:val="20"/>
        </w:rPr>
        <w:t xml:space="preserve">中国科学:</w:t>
      </w:r>
      <w:r>
        <w:rPr>
          <w:sz w:val="20"/>
        </w:rPr>
        <w:t xml:space="preserve"> </w:t>
      </w:r>
      <w:r>
        <w:rPr>
          <w:rFonts w:hint="eastAsia"/>
          <w:sz w:val="20"/>
        </w:rPr>
        <w:t xml:space="preserve">物理学</w:t>
      </w:r>
      <w:r>
        <w:rPr>
          <w:sz w:val="20"/>
        </w:rPr>
        <w:t xml:space="preserve"> </w:t>
      </w:r>
      <w:r>
        <w:rPr>
          <w:rFonts w:hint="eastAsia"/>
          <w:sz w:val="20"/>
        </w:rPr>
        <w:t xml:space="preserve">力学</w:t>
      </w:r>
      <w:r>
        <w:rPr>
          <w:sz w:val="20"/>
        </w:rPr>
        <w:t xml:space="preserve"> </w:t>
      </w:r>
      <w:r>
        <w:rPr>
          <w:rFonts w:hint="eastAsia"/>
          <w:sz w:val="20"/>
        </w:rPr>
        <w:t xml:space="preserve">天文学,</w:t>
      </w:r>
      <w:r>
        <w:rPr>
          <w:sz w:val="20"/>
        </w:rPr>
        <w:t xml:space="preserve"> 2025, 55(2): 224518. DOI:</w:t>
      </w:r>
      <w:r>
        <w:rPr>
          <w:sz w:val="20"/>
        </w:rPr>
        <w:t xml:space="preserve"> </w:t>
      </w:r>
      <w:hyperlink r:id="rId28">
        <w:r>
          <w:rPr>
            <w:rStyle w:val="Hyperlink"/>
          </w:rPr>
          <w:t xml:space="preserve">https://doi.org/10.1360/SSPMA-2024-0302</w:t>
        </w:r>
      </w:hyperlink>
      <w:r>
        <w:rPr>
          <w:sz w:val="20"/>
        </w:rPr>
        <w:t xml:space="preserve">.</w:t>
      </w:r>
    </w:p>
    <w:bookmarkEnd w:id="29"/>
    <w:bookmarkEnd w:id="30"/>
    <w:bookmarkEnd w:id="31"/>
    <w:bookmarkStart w:id="43" w:name="项目的研究内容研究目标及拟解决的关键科学问题"/>
    <w:p>
      <w:pPr>
        <w:pStyle w:val="Heading2"/>
        <w:widowControl/>
      </w:pPr>
      <w:r>
        <w:t xml:space="preserve">2. </w:t>
      </w:r>
      <w:r>
        <w:rPr>
          <w:rFonts w:hint="eastAsia"/>
        </w:rPr>
        <w:t xml:space="preserve">项目的研究内容、研究目标及拟解决的关键科学问题</w:t>
      </w:r>
    </w:p>
    <w:bookmarkStart w:id="35" w:name="研究内容"/>
    <w:p>
      <w:pPr>
        <w:pStyle w:val="Heading3"/>
        <w:widowControl/>
      </w:pPr>
      <w:r>
        <w:t xml:space="preserve">2.1　</w:t>
      </w:r>
      <w:r>
        <w:rPr>
          <w:rFonts w:hint="eastAsia"/>
        </w:rPr>
        <w:t xml:space="preserve">研究内容</w:t>
      </w:r>
    </w:p>
    <w:p>
      <w:pPr>
        <w:pStyle w:val="FirstParagraph"/>
        <w:widowControl/>
        <w:ind w:firstLine="480"/>
        <w:jc w:val="both"/>
      </w:pPr>
      <w:r>
        <w:rPr>
          <w:rFonts w:hint="eastAsia"/>
        </w:rPr>
        <w:t xml:space="preserve">本项目面向柔性桁架支撑下的精确运动与柔顺对接，依托已有倒置动力学和几何阻抗基础，研究受约束力矩控制；引入残差强化学习补偿实际执行偏差，提升末端运动与阻抗响应的实现能力；进一步利用接触几何修正目标位姿，开展典型接口对接。三项内容由运动控制递进至接触作业，共同服务于地面原理验证。</w:t>
      </w:r>
    </w:p>
    <w:bookmarkStart w:id="32" w:name="柔性桁架支撑下机器人的几何阻抗与力矩优化控制"/>
    <w:p>
      <w:pPr>
        <w:pStyle w:val="Heading4"/>
        <w:widowControl/>
      </w:pPr>
      <w:r>
        <w:rPr>
          <w:rFonts w:hint="eastAsia"/>
        </w:rPr>
        <w:t xml:space="preserve">（1）柔性桁架支撑下机器人的几何阻抗与力矩优化控制</w:t>
      </w:r>
    </w:p>
    <w:p>
      <w:pPr>
        <w:pStyle w:val="FirstParagraph"/>
        <w:widowControl/>
        <w:ind w:firstLine="480"/>
        <w:jc w:val="both"/>
      </w:pPr>
      <w:r>
        <w:rPr>
          <w:rFonts w:hint="eastAsia"/>
        </w:rPr>
        <w:t xml:space="preserve">机器人依附柔性桁架工作时，支撑运动传递至作业端，关节反作用载荷又激励结构振动，使末端精度与支撑响应相互制约。拟在已有倒置建模基础上，建立安装界面、关节运动与末端响应的动力学联系，重点分析支撑运动对位姿保持及轨迹跟踪所需力矩的影响，以及不同运动方式对结构的反作用，为控制分配提供依据。</w:t>
      </w:r>
    </w:p>
    <w:p>
      <w:pPr>
        <w:pStyle w:val="BodyText"/>
        <w:widowControl/>
        <w:ind w:firstLine="480"/>
        <w:jc w:val="both"/>
      </w:pPr>
      <w:r>
        <w:rPr>
          <w:rFonts w:hint="eastAsia"/>
        </w:rPr>
        <w:t xml:space="preserve">围绕位置与姿态统一控制的需求，研究</w:t>
      </w:r>
      <m:oMath>
        <m:r>
          <m:rPr>
            <m:sty m:val="p"/>
          </m:rPr>
          <m:t>S</m:t>
        </m:r>
        <m:r>
          <m:rPr>
            <m:sty m:val="p"/>
          </m:rPr>
          <m:t>E</m:t>
        </m:r>
        <m:r>
          <m:rPr>
            <m:sty m:val="p"/>
          </m:rPr>
          <m:t>(</m:t>
        </m:r>
        <m:r>
          <m:t>3</m:t>
        </m:r>
        <m:r>
          <m:rPr>
            <m:sty m:val="p"/>
          </m:rPr>
          <m:t>)</m:t>
        </m:r>
      </m:oMath>
      <w:r>
        <w:rPr>
          <w:rFonts w:hint="eastAsia"/>
        </w:rPr>
        <w:t xml:space="preserve">几何阻抗与动力学二次规划相结合的力矩控制方法。利用几何阻抗描述末端偏差与柔顺响应之间的关系，通过动力学优化协调末端运动要求、关节运动与驱动能力，研究支撑扰动及约束激活对实际阻抗响应的影响。考察阻抗参数、运动速度与结构响应之间的关系，明确位姿保持、轨迹跟踪和柔顺接触对控制性能的不同要求，形成可供学习补偿与对接参考更新共同依托的名义控制方法。</w:t>
      </w:r>
    </w:p>
    <w:bookmarkEnd w:id="32"/>
    <w:bookmarkStart w:id="33" w:name="实际动力学失配下的残差强化学习补偿"/>
    <w:p>
      <w:pPr>
        <w:pStyle w:val="Heading4"/>
        <w:widowControl/>
      </w:pPr>
      <w:r>
        <w:rPr>
          <w:rFonts w:hint="eastAsia"/>
        </w:rPr>
        <w:t xml:space="preserve">（2）实际动力学失配下的残差强化学习补偿</w:t>
      </w:r>
    </w:p>
    <w:p>
      <w:pPr>
        <w:pStyle w:val="FirstParagraph"/>
        <w:widowControl/>
        <w:ind w:firstLine="480"/>
        <w:jc w:val="both"/>
      </w:pPr>
      <w:r>
        <w:rPr>
          <w:rFonts w:hint="eastAsia"/>
        </w:rPr>
        <w:t xml:space="preserve">实际机械臂的惯性参数、摩擦和负载与名义模型存在差异，执行时延等非理想因素进一步使理论控制作用与实际响应不一致。仅依靠提高反馈增益，可能在减小跟踪偏差的同时增大柔性支撑的受激响应。针对这一问题，拓展已有模型引导残差强化学习方法，研究适用于阻抗–QP控制的动力学偏差补偿。重点考察模型与执行误差在运动历史、参考运动和支撑响应中的表现，利用名义控制所提供的物理信息引导学习，使补偿作用集中于实际系统未被充分描述的驱动通道偏差。</w:t>
      </w:r>
    </w:p>
    <w:p>
      <w:pPr>
        <w:pStyle w:val="BodyText"/>
        <w:widowControl/>
        <w:ind w:firstLine="480"/>
        <w:jc w:val="both"/>
      </w:pPr>
      <w:r>
        <w:rPr>
          <w:rFonts w:hint="eastAsia"/>
        </w:rPr>
        <w:t xml:space="preserve">与已有固定基座、给定名义轨迹下的残差学习相比，本项目的控制指令还受到阻抗要求、支撑运动和动态约束的共同影响。拟研究这一条件下学习目标与补偿作用的适配关系，将末端精度、结构响应和补偿平滑性共同纳入控制性能评价，协调学习残差与总力矩约束。分析补偿对位姿跟踪及柔顺响应的影响，明确其在不同支撑与载荷条件下的适用范围。通过模型控制与学习补偿的结合，形成基于关节力矩驱动的高精度运动控制能力，为接触信息的可靠利用和对接指令的准确执行提供基础。</w:t>
      </w:r>
    </w:p>
    <w:bookmarkEnd w:id="33"/>
    <w:bookmarkStart w:id="34" w:name="柔性支撑条件下接触引导的阻抗对接"/>
    <w:p>
      <w:pPr>
        <w:pStyle w:val="Heading4"/>
        <w:widowControl/>
      </w:pPr>
      <w:r>
        <w:rPr>
          <w:rFonts w:hint="eastAsia"/>
        </w:rPr>
        <w:t xml:space="preserve">（3）柔性支撑条件下接触引导的阻抗对接</w:t>
      </w:r>
    </w:p>
    <w:p>
      <w:pPr>
        <w:pStyle w:val="FirstParagraph"/>
        <w:widowControl/>
        <w:ind w:firstLine="480"/>
        <w:jc w:val="both"/>
      </w:pPr>
      <w:r>
        <w:rPr>
          <w:rFonts w:hint="eastAsia"/>
        </w:rPr>
        <w:t xml:space="preserve">在柔性桁架上进行模块对接时，目标位姿估计偏差与支撑运动共同改变接口的相对位置和姿态。固定参考下的柔顺控制虽能缓和接触载荷，却可能使机器人停留在错误的接触平衡位置，难以完成准确对准。针对这一问题，研究接触几何信息与阻抗响应相结合的对接方法。利用接触位姿和物理方向信息表征接口的局部接触流形，建立接触场与目标位姿之间的联系，通过在线接触观测修正目标估计，分析柔性支撑运动对接触几何判断及位姿修正的影响。</w:t>
      </w:r>
    </w:p>
    <w:p>
      <w:pPr>
        <w:pStyle w:val="BodyText"/>
        <w:widowControl/>
        <w:ind w:firstLine="480"/>
        <w:jc w:val="both"/>
      </w:pPr>
      <w:r>
        <w:rPr>
          <w:rFonts w:hint="eastAsia"/>
        </w:rPr>
        <w:t xml:space="preserve">在获得目标配准结果的基础上，研究接触力和力矩引导的有界参考修正，使机器人在保持目标对准的同时适应局部接触约束。重点考察参考调整、实际阻抗响应与支撑振动之间的相互作用，协调横向及姿态纠偏与轴向接近，避免参考偏移积累和接触载荷持续增大。将接触参考更新与前述学习增强力矩控制结合，在典型接口和既定连接构型下研究对准、插接及到位保持过程，形成柔性支撑条件下的阻抗对接方法。</w:t>
      </w:r>
    </w:p>
    <w:bookmarkEnd w:id="34"/>
    <w:bookmarkEnd w:id="35"/>
    <w:bookmarkStart w:id="39" w:name="研究目标"/>
    <w:p>
      <w:pPr>
        <w:pStyle w:val="Heading3"/>
        <w:widowControl/>
      </w:pPr>
      <w:r>
        <w:t xml:space="preserve">2.2　</w:t>
      </w:r>
      <w:r>
        <w:rPr>
          <w:rFonts w:hint="eastAsia"/>
        </w:rPr>
        <w:t xml:space="preserve">研究目标</w:t>
      </w:r>
    </w:p>
    <w:p>
      <w:pPr>
        <w:pStyle w:val="FirstParagraph"/>
        <w:widowControl/>
        <w:ind w:firstLine="480"/>
        <w:jc w:val="both"/>
      </w:pPr>
      <w:r>
        <w:rPr>
          <w:rFonts w:hint="eastAsia"/>
        </w:rPr>
        <w:t xml:space="preserve">总体目标是阐明柔性支撑、动力学失配与接触参考变化对机器人阻抗响应的影响，建立学习增强的运动控制与柔顺对接方法，提升多源不确定性条件下的作业精度和稳定性。具体目标如下。</w:t>
      </w:r>
    </w:p>
    <w:bookmarkStart w:id="36" w:name="建立柔性支撑条件下的受约束运动控制方法"/>
    <w:p>
      <w:pPr>
        <w:pStyle w:val="Heading4"/>
        <w:widowControl/>
      </w:pPr>
      <w:r>
        <w:rPr>
          <w:rFonts w:hint="eastAsia"/>
        </w:rPr>
        <w:t xml:space="preserve">（1）建立柔性支撑条件下的受约束运动控制方法</w:t>
      </w:r>
    </w:p>
    <w:p>
      <w:pPr>
        <w:pStyle w:val="FirstParagraph"/>
        <w:widowControl/>
        <w:ind w:firstLine="480"/>
        <w:jc w:val="both"/>
      </w:pPr>
      <w:r>
        <w:rPr>
          <w:rFonts w:hint="eastAsia"/>
        </w:rPr>
        <w:t xml:space="preserve">明确安装界面运动与作业端响应之间的动力学联系，形成倒置建模、几何阻抗与力矩优化相结合的控制方法，实现代表性支撑条件下的位姿保持与轨迹跟踪，并给出运动精度、柔顺性和结构振动之间的协调依据。</w:t>
      </w:r>
    </w:p>
    <w:bookmarkEnd w:id="36"/>
    <w:bookmarkStart w:id="37" w:name="形成与阻抗qp相融合的残差学习补偿方法"/>
    <w:p>
      <w:pPr>
        <w:pStyle w:val="Heading4"/>
        <w:widowControl/>
      </w:pPr>
      <w:r>
        <w:rPr>
          <w:rFonts w:hint="eastAsia"/>
        </w:rPr>
        <w:t xml:space="preserve">（2）形成与阻抗–QP相融合的残差学习补偿方法</w:t>
      </w:r>
    </w:p>
    <w:p>
      <w:pPr>
        <w:pStyle w:val="FirstParagraph"/>
        <w:widowControl/>
        <w:ind w:firstLine="480"/>
        <w:jc w:val="both"/>
      </w:pPr>
      <w:r>
        <w:rPr>
          <w:rFonts w:hint="eastAsia"/>
        </w:rPr>
        <w:t xml:space="preserve">减轻惯性、摩擦、负载与执行时序偏差对控制性能的影响，明确残差补偿对末端精度和结构响应的作用范围。在相同参考运动与驱动约束下，以较名义阻抗–QP控制的位置跟踪均方根误差降低不小于20%、停驻阶段支撑动态位移均方根值降低不小于25%为拟定目标，同时评价姿态误差和力矩变化，验证补偿效果及其代价。</w:t>
      </w:r>
    </w:p>
    <w:bookmarkEnd w:id="37"/>
    <w:bookmarkStart w:id="38" w:name="完成柔性支撑条件下典型接口的对接原理验证"/>
    <w:p>
      <w:pPr>
        <w:pStyle w:val="Heading4"/>
        <w:widowControl/>
      </w:pPr>
      <w:r>
        <w:rPr>
          <w:rFonts w:hint="eastAsia"/>
        </w:rPr>
        <w:t xml:space="preserve">（3）完成柔性支撑条件下典型接口的对接原理验证</w:t>
      </w:r>
    </w:p>
    <w:p>
      <w:pPr>
        <w:pStyle w:val="FirstParagraph"/>
        <w:widowControl/>
        <w:ind w:firstLine="480"/>
        <w:jc w:val="both"/>
      </w:pPr>
      <w:r>
        <w:rPr>
          <w:rFonts w:hint="eastAsia"/>
        </w:rPr>
        <w:t xml:space="preserve">形成接触场配准与有界阻抗参考修正相结合的方法，在预定初始位姿偏差范围内完成典型接口的对准、插接及到位保持验证，评价目标位姿修正、对接到位误差与接触载荷。通过固定参考、仅配准修正和配准结合接触反馈等对照，明确几何信息与柔顺执行各自的作用及相互配合效果。</w:t>
      </w:r>
    </w:p>
    <w:p>
      <w:pPr>
        <w:pStyle w:val="BodyText"/>
        <w:widowControl/>
        <w:ind w:firstLine="480"/>
        <w:jc w:val="both"/>
      </w:pPr>
      <w:r>
        <w:rPr>
          <w:rFonts w:hint="eastAsia"/>
        </w:rPr>
        <w:t xml:space="preserve">改善比例为拟定目标，采用预定工况和评价窗口，同时报告绝对误差与重复试验离散程度。对接以独立测量的真实目标坐标和接口容差评价，分别报告到位精度、接触载荷及可完成对接的偏差范围。</w:t>
      </w:r>
    </w:p>
    <w:bookmarkEnd w:id="38"/>
    <w:bookmarkEnd w:id="39"/>
    <w:bookmarkStart w:id="42" w:name="拟解决的关键科学问题"/>
    <w:p>
      <w:pPr>
        <w:pStyle w:val="Heading3"/>
        <w:widowControl/>
      </w:pPr>
      <w:r>
        <w:t xml:space="preserve">2.3　</w:t>
      </w:r>
      <w:r>
        <w:rPr>
          <w:rFonts w:hint="eastAsia"/>
        </w:rPr>
        <w:t xml:space="preserve">拟解决的关键科学问题</w:t>
      </w:r>
    </w:p>
    <w:bookmarkStart w:id="40" w:name="柔性支撑与模型失配共同作用下末端阻抗响应的形成机制"/>
    <w:p>
      <w:pPr>
        <w:pStyle w:val="Heading4"/>
        <w:widowControl/>
      </w:pPr>
      <w:r>
        <w:rPr>
          <w:rFonts w:hint="eastAsia"/>
        </w:rPr>
        <w:t xml:space="preserve">（1）柔性支撑与模型失配共同作用下末端阻抗响应的形成机制</w:t>
      </w:r>
    </w:p>
    <w:p>
      <w:pPr>
        <w:pStyle w:val="FirstParagraph"/>
        <w:widowControl/>
        <w:ind w:firstLine="480"/>
        <w:jc w:val="both"/>
      </w:pPr>
      <w:r>
        <w:rPr>
          <w:rFonts w:hint="eastAsia"/>
        </w:rPr>
        <w:t xml:space="preserve">柔性支撑运动和机械臂内部模型失配都可表现为末端偏差，但前者来自机器人与结构之间的真实动力学相互作用，后者体现为名义模型与实际执行之间的偏离。二者对驱动力矩的需求并不相同，若不加区分地学习和抵消末端误差，可能在改善局部跟踪的同时改变支撑受力和系统柔顺性。另一方面，关节与力矩约束使期望阻抗响应不能始终被准确实现，残差补偿的实际效果随约束状态而变化。</w:t>
      </w:r>
    </w:p>
    <w:p>
      <w:pPr>
        <w:pStyle w:val="BodyText"/>
        <w:widowControl/>
        <w:ind w:firstLine="480"/>
        <w:jc w:val="both"/>
      </w:pPr>
      <w:r>
        <w:rPr>
          <w:rFonts w:hint="eastAsia"/>
        </w:rPr>
        <w:t xml:space="preserve">因此，需要揭示支撑作用、内部失配及受约束力矩分配共同影响末端响应的机制，确定驱动能够有效补偿的偏差及补偿对结构能量的影响。其核心在于明确学习补偿改善运动精度的条件，以及保持所需柔顺性、避免放大支撑振动的控制边界，为柔性结构上的学习增强控制提供依据。</w:t>
      </w:r>
    </w:p>
    <w:bookmarkEnd w:id="40"/>
    <w:bookmarkStart w:id="41" w:name="柔性支撑条件下接触几何修正与阻抗响应的协调机制"/>
    <w:p>
      <w:pPr>
        <w:pStyle w:val="Heading4"/>
        <w:widowControl/>
      </w:pPr>
      <w:r>
        <w:rPr>
          <w:rFonts w:hint="eastAsia"/>
        </w:rPr>
        <w:t xml:space="preserve">（2）柔性支撑条件下接触几何修正与阻抗响应的协调机制</w:t>
      </w:r>
    </w:p>
    <w:p>
      <w:pPr>
        <w:pStyle w:val="FirstParagraph"/>
        <w:widowControl/>
        <w:ind w:firstLine="480"/>
        <w:jc w:val="both"/>
      </w:pPr>
      <w:r>
        <w:rPr>
          <w:rFonts w:hint="eastAsia"/>
        </w:rPr>
        <w:t xml:space="preserve">对接时的接触位姿和载荷同时受目标偏差、支撑运动与机器人柔顺响应影响，较小的接触力不一定对应正确的装配位置，局部接触数据也未必能充分约束所有位姿方向。利用接触观测更新目标或运动参考，又会改变接触状态、关节作用和支撑结构响应，使几何估计与运动控制相互影响。</w:t>
      </w:r>
    </w:p>
    <w:p>
      <w:pPr>
        <w:pStyle w:val="BodyText"/>
        <w:widowControl/>
        <w:ind w:firstLine="480"/>
        <w:jc w:val="both"/>
      </w:pPr>
      <w:r>
        <w:rPr>
          <w:rFonts w:hint="eastAsia"/>
        </w:rPr>
        <w:t xml:space="preserve">需要明确接触信息约束目标偏差的能力及可信程度，揭示参考变化经实际阻抗控制传递至接触载荷和支撑运动的规律，使参考调整既能利用接触反馈纠偏，又保持对目标位姿的约束，从而协调对准精度、柔顺性与支撑运动，实现典型工况下的稳定对接。</w:t>
      </w:r>
    </w:p>
    <w:bookmarkEnd w:id="41"/>
    <w:bookmarkEnd w:id="42"/>
    <w:bookmarkEnd w:id="43"/>
    <w:bookmarkStart w:id="56" w:name="拟采取的研究方案及可行性分析"/>
    <w:p>
      <w:pPr>
        <w:pStyle w:val="Heading2"/>
        <w:widowControl/>
      </w:pPr>
      <w:r>
        <w:t xml:space="preserve">3. </w:t>
      </w:r>
      <w:r>
        <w:rPr>
          <w:rFonts w:hint="eastAsia"/>
        </w:rPr>
        <w:t xml:space="preserve">拟采取的研究方案及可行性分析</w:t>
      </w:r>
    </w:p>
    <w:bookmarkStart w:id="47" w:name="总体研究思路与技术路线"/>
    <w:p>
      <w:pPr>
        <w:pStyle w:val="Heading3"/>
        <w:widowControl/>
      </w:pPr>
      <w:r>
        <w:t xml:space="preserve">3.1　</w:t>
      </w:r>
      <w:r>
        <w:rPr>
          <w:rFonts w:hint="eastAsia"/>
        </w:rPr>
        <w:t xml:space="preserve">总体研究思路与技术路线</w:t>
      </w:r>
    </w:p>
    <w:p>
      <w:pPr>
        <w:pStyle w:val="FirstParagraph"/>
        <w:widowControl/>
        <w:ind w:firstLine="480"/>
        <w:jc w:val="both"/>
      </w:pPr>
      <w:r>
        <w:rPr>
          <w:rFonts w:hint="eastAsia"/>
        </w:rPr>
        <w:t xml:space="preserve">以现有Franka位姿保持和轨迹跟踪控制为起点，将几何阻抗与动力学QP作为名义控制层，引入模型引导残差学习补偿实际执行偏差；在此基础上，以接触场配准确定对接目标，以接触反馈调整阻抗参考，形成从柔性支撑运动控制到典型接口对接的技术路线，如图1所示。采用模型分析、耦合仿真和地面实验相结合的方式，逐步验证各环节及其衔接效果。</w:t>
      </w:r>
    </w:p>
    <w:p>
      <w:pPr>
        <w:pStyle w:val="BodyText"/>
        <w:keepNext/>
        <w:keepLines/>
        <w:widowControl/>
        <w:spacing w:line="240" w:lineRule="auto"/>
        <w:ind w:firstLine="0"/>
        <w:jc w:val="center"/>
      </w:pPr>
      <w:r>
        <w:drawing>
          <wp:inline>
            <wp:extent cx="4319999" cy="2749090"/>
            <wp:effectExtent b="0" l="0" r="0" t="0"/>
            <wp:docPr descr="image" title="" id="45" name="Picture"/>
            <a:graphic>
              <a:graphicData uri="http://schemas.openxmlformats.org/drawingml/2006/picture">
                <pic:pic>
                  <pic:nvPicPr>
                    <pic:cNvPr descr="/home/swk/下载/南航本子/tmp/word_conversion/route.png" id="46" name="Picture"/>
                    <pic:cNvPicPr>
                      <a:picLocks noChangeArrowheads="1" noChangeAspect="1"/>
                    </pic:cNvPicPr>
                  </pic:nvPicPr>
                  <pic:blipFill>
                    <a:blip r:embed="rId44"/>
                    <a:stretch>
                      <a:fillRect/>
                    </a:stretch>
                  </pic:blipFill>
                  <pic:spPr bwMode="auto">
                    <a:xfrm>
                      <a:off x="0" y="0"/>
                      <a:ext cx="4319999" cy="2749090"/>
                    </a:xfrm>
                    <a:prstGeom prst="rect">
                      <a:avLst/>
                    </a:prstGeom>
                    <a:noFill/>
                    <a:ln w="9525">
                      <a:noFill/>
                      <a:headEnd/>
                      <a:tailEnd/>
                    </a:ln>
                  </pic:spPr>
                </pic:pic>
              </a:graphicData>
            </a:graphic>
          </wp:inline>
        </w:drawing>
      </w:r>
    </w:p>
    <w:p>
      <w:pPr>
        <w:pStyle w:val="BodyText"/>
        <w:widowControl/>
        <w:ind w:firstLine="0"/>
        <w:jc w:val="center"/>
      </w:pPr>
      <w:r>
        <w:rPr>
          <w:rFonts w:hint="eastAsia"/>
        </w:rPr>
        <w:t xml:space="preserve">图1</w:t>
      </w:r>
      <w:r>
        <w:t xml:space="preserve">　</w:t>
      </w:r>
      <w:r>
        <w:rPr>
          <w:rFonts w:hint="eastAsia"/>
        </w:rPr>
        <w:t xml:space="preserve">项目技术路线与验证关系</w:t>
      </w:r>
    </w:p>
    <w:bookmarkEnd w:id="47"/>
    <w:bookmarkStart w:id="48" w:name="几何阻抗与动力学qp相结合的力矩控制"/>
    <w:p>
      <w:pPr>
        <w:pStyle w:val="Heading3"/>
        <w:widowControl/>
      </w:pPr>
      <w:r>
        <w:t xml:space="preserve">3.2　</w:t>
      </w:r>
      <w:r>
        <w:rPr>
          <w:rFonts w:hint="eastAsia"/>
        </w:rPr>
        <w:t xml:space="preserve">几何阻抗与动力学QP相结合的力矩控制</w:t>
      </w:r>
    </w:p>
    <w:p>
      <w:pPr>
        <w:pStyle w:val="FirstParagraph"/>
        <w:widowControl/>
        <w:ind w:firstLine="480"/>
        <w:jc w:val="both"/>
      </w:pPr>
      <w:r>
        <w:rPr>
          <w:rFonts w:hint="eastAsia"/>
        </w:rPr>
        <w:t xml:space="preserve">沿用以作业端为浮动根的倒置模型，以主导模态描述既定连接构型下的支撑小弹性运动，通过界面运动相容与作用力平衡连接两侧动力学。利用位姿和结构测量校核模型，并检查坐标及功率一致性。</w:t>
      </w:r>
    </w:p>
    <w:p>
      <w:pPr>
        <w:pStyle w:val="BodyText"/>
        <w:widowControl/>
        <w:ind w:firstLine="480"/>
        <w:jc w:val="both"/>
      </w:pPr>
      <w:r>
        <w:rPr>
          <w:rFonts w:hint="eastAsia"/>
        </w:rPr>
        <w:t xml:space="preserve">令</w:t>
      </w:r>
      <m:oMath>
        <m:sSub>
          <m:e>
            <m:r>
              <m:t>T</m:t>
            </m:r>
          </m:e>
          <m:sub>
            <m:r>
              <m:t>E</m:t>
            </m:r>
          </m:sub>
        </m:sSub>
      </m:oMath>
      <w:r>
        <w:rPr>
          <w:rFonts w:hint="eastAsia"/>
        </w:rPr>
        <w:t xml:space="preserve">和</w:t>
      </w:r>
      <m:oMath>
        <m:sSub>
          <m:e>
            <m:r>
              <m:t>T</m:t>
            </m:r>
          </m:e>
          <m:sub>
            <m:r>
              <m:t>d</m:t>
            </m:r>
          </m:sub>
        </m:sSub>
      </m:oMath>
      <w:r>
        <w:rPr>
          <w:rFonts w:hint="eastAsia"/>
        </w:rPr>
        <w:t xml:space="preserve">分别为实际与期望末端位姿，在局部对数坐标中设计期望阻抗关系：</w:t>
      </w:r>
    </w:p>
    <w:p>
      <w:pPr>
        <w:pStyle w:val="BodyText"/>
        <w:keepLines/>
        <w:widowControl/>
        <w:spacing w:line="240" w:lineRule="auto"/>
        <w:ind w:firstLine="0"/>
        <w:jc w:val="center"/>
      </w:pPr>
      <m:oMathPara>
        <m:oMathParaPr>
          <m:jc m:val="center"/>
        </m:oMathParaPr>
        <m:oMath>
          <m:r>
            <m:rPr>
              <m:sty m:val="bi"/>
            </m:rPr>
            <m:t>e</m:t>
          </m:r>
          <m:r>
            <m:rPr>
              <m:sty m:val="p"/>
            </m:rPr>
            <m:t>=</m:t>
          </m:r>
          <m:r>
            <m:rPr>
              <m:sty m:val="p"/>
            </m:rPr>
            <m:t>Log</m:t>
          </m:r>
          <m:r>
            <m:rPr>
              <m:sty m:val="p"/>
            </m:rPr>
            <m:t>(</m:t>
          </m:r>
          <m:sSubSup>
            <m:e>
              <m:r>
                <m:t>T</m:t>
              </m:r>
            </m:e>
            <m:sub>
              <m:r>
                <m:t>d</m:t>
              </m:r>
            </m:sub>
            <m:sup>
              <m:r>
                <m:rPr>
                  <m:sty m:val="p"/>
                </m:rPr>
                <m:t>−</m:t>
              </m:r>
              <m:r>
                <m:t>1</m:t>
              </m:r>
            </m:sup>
          </m:sSubSup>
          <m:sSub>
            <m:e>
              <m:r>
                <m:t>T</m:t>
              </m:r>
            </m:e>
            <m:sub>
              <m:r>
                <m:t>E</m:t>
              </m:r>
            </m:sub>
          </m:sSub>
          <m:sSup>
            <m:e>
              <m:r>
                <m:rPr>
                  <m:sty m:val="p"/>
                </m:rPr>
                <m:t>)</m:t>
              </m:r>
            </m:e>
            <m:sup>
              <m:r>
                <m:rPr>
                  <m:sty m:val="p"/>
                </m:rPr>
                <m:t>∨</m:t>
              </m:r>
            </m:sup>
          </m:sSup>
          <m:r>
            <m:rPr>
              <m:sty m:val="p"/>
            </m:rPr>
            <m:t>,</m:t>
          </m:r>
          <m:r>
            <m:t>  </m:t>
          </m:r>
          <m:sSub>
            <m:e>
              <m:r>
                <m:rPr>
                  <m:sty m:val="bi"/>
                </m:rPr>
                <m:t>M</m:t>
              </m:r>
            </m:e>
            <m:sub>
              <m:r>
                <m:t>d</m:t>
              </m:r>
            </m:sub>
          </m:sSub>
          <m:acc>
            <m:accPr>
              <m:chr m:val="̈"/>
            </m:accPr>
            <m:e>
              <m:r>
                <m:rPr>
                  <m:sty m:val="bi"/>
                </m:rPr>
                <m:t>e</m:t>
              </m:r>
            </m:e>
          </m:acc>
          <m:r>
            <m:rPr>
              <m:sty m:val="p"/>
            </m:rPr>
            <m:t>+</m:t>
          </m:r>
          <m:sSub>
            <m:e>
              <m:r>
                <m:rPr>
                  <m:sty m:val="bi"/>
                </m:rPr>
                <m:t>D</m:t>
              </m:r>
            </m:e>
            <m:sub>
              <m:r>
                <m:t>d</m:t>
              </m:r>
            </m:sub>
          </m:sSub>
          <m:acc>
            <m:accPr>
              <m:chr m:val="̇"/>
            </m:accPr>
            <m:e>
              <m:r>
                <m:rPr>
                  <m:sty m:val="bi"/>
                </m:rPr>
                <m:t>e</m:t>
              </m:r>
            </m:e>
          </m:acc>
          <m:r>
            <m:rPr>
              <m:sty m:val="p"/>
            </m:rPr>
            <m:t>+</m:t>
          </m:r>
          <m:sSub>
            <m:e>
              <m:r>
                <m:rPr>
                  <m:sty m:val="bi"/>
                </m:rPr>
                <m:t>K</m:t>
              </m:r>
            </m:e>
            <m:sub>
              <m:r>
                <m:t>d</m:t>
              </m:r>
            </m:sub>
          </m:sSub>
          <m:r>
            <m:rPr>
              <m:sty m:val="bi"/>
            </m:rPr>
            <m:t>e</m:t>
          </m:r>
          <m:r>
            <m:rPr>
              <m:sty m:val="p"/>
            </m:rPr>
            <m:t>=</m:t>
          </m:r>
          <m:sSub>
            <m:e>
              <m:r>
                <m:rPr>
                  <m:sty m:val="bi"/>
                </m:rPr>
                <m:t>f</m:t>
              </m:r>
            </m:e>
            <m:sub>
              <m:r>
                <m:t>e</m:t>
              </m:r>
            </m:sub>
          </m:sSub>
          <m:r>
            <m:rPr>
              <m:sty m:val="p"/>
            </m:rPr>
            <m:t>.</m:t>
          </m:r>
          <m:r>
            <m:t>  </m:t>
          </m:r>
          <m:r>
            <m:rPr>
              <m:nor/>
              <m:sty m:val="p"/>
            </m:rPr>
            <m:t>(1)</m:t>
          </m:r>
        </m:oMath>
      </m:oMathPara>
    </w:p>
    <w:p>
      <w:pPr>
        <w:pStyle w:val="FirstParagraph"/>
        <w:widowControl/>
        <w:ind w:firstLine="480"/>
        <w:jc w:val="both"/>
      </w:pPr>
      <w:r>
        <w:rPr>
          <w:rFonts w:hint="eastAsia"/>
        </w:rPr>
        <w:t xml:space="preserve">其中，</w:t>
      </w:r>
      <m:oMath>
        <m:sSub>
          <m:e>
            <m:r>
              <m:rPr>
                <m:sty m:val="bi"/>
              </m:rPr>
              <m:t>M</m:t>
            </m:r>
          </m:e>
          <m:sub>
            <m:r>
              <m:t>d</m:t>
            </m:r>
          </m:sub>
        </m:sSub>
      </m:oMath>
      <w:r>
        <w:t xml:space="preserve">、</w:t>
      </w:r>
      <m:oMath>
        <m:sSub>
          <m:e>
            <m:r>
              <m:rPr>
                <m:sty m:val="bi"/>
              </m:rPr>
              <m:t>D</m:t>
            </m:r>
          </m:e>
          <m:sub>
            <m:r>
              <m:t>d</m:t>
            </m:r>
          </m:sub>
        </m:sSub>
      </m:oMath>
      <w:r>
        <w:rPr>
          <w:rFonts w:hint="eastAsia"/>
        </w:rPr>
        <w:t xml:space="preserve">和</w:t>
      </w:r>
      <m:oMath>
        <m:sSub>
          <m:e>
            <m:r>
              <m:rPr>
                <m:sty m:val="bi"/>
              </m:rPr>
              <m:t>K</m:t>
            </m:r>
          </m:e>
          <m:sub>
            <m:r>
              <m:t>d</m:t>
            </m:r>
          </m:sub>
        </m:sSub>
      </m:oMath>
      <w:r>
        <w:rPr>
          <w:rFonts w:hint="eastAsia"/>
        </w:rPr>
        <w:t xml:space="preserve">为正定的虚拟惯量、阻尼和刚度，</w:t>
      </w:r>
      <m:oMath>
        <m:sSub>
          <m:e>
            <m:r>
              <m:rPr>
                <m:sty m:val="bi"/>
              </m:rPr>
              <m:t>f</m:t>
            </m:r>
          </m:e>
          <m:sub>
            <m:r>
              <m:t>e</m:t>
            </m:r>
          </m:sub>
        </m:sSub>
      </m:oMath>
      <w:r>
        <w:rPr>
          <w:rFonts w:hint="eastAsia"/>
        </w:rPr>
        <w:t xml:space="preserve">为与误差坐标共轭的接触广义力；平移与转动按相应物理尺度设置参数。通过一致的几何微分和力映射，将该误差动态转化为末端参考加速度</w:t>
      </w:r>
      <m:oMath>
        <m:sSubSup>
          <m:e>
            <m:r>
              <m:rPr>
                <m:sty m:val="bi"/>
              </m:rPr>
              <m:t>a</m:t>
            </m:r>
          </m:e>
          <m:sub>
            <m:r>
              <m:t>E</m:t>
            </m:r>
          </m:sub>
          <m:sup>
            <m:r>
              <m:rPr>
                <m:sty m:val="p"/>
              </m:rPr>
              <m:t>i</m:t>
            </m:r>
            <m:r>
              <m:rPr>
                <m:sty m:val="p"/>
              </m:rPr>
              <m:t>m</m:t>
            </m:r>
            <m:r>
              <m:rPr>
                <m:sty m:val="p"/>
              </m:rPr>
              <m:t>p</m:t>
            </m:r>
          </m:sup>
        </m:sSubSup>
      </m:oMath>
      <w:r>
        <w:rPr>
          <w:rFonts w:hint="eastAsia"/>
        </w:rPr>
        <w:t xml:space="preserve">。此式描述待实现的局部阻抗目标，实际响应还取决于动力学约束和模型误差。</w:t>
      </w:r>
    </w:p>
    <w:p>
      <w:pPr>
        <w:pStyle w:val="BodyText"/>
        <w:widowControl/>
        <w:ind w:firstLine="480"/>
        <w:jc w:val="both"/>
      </w:pPr>
      <w:r>
        <w:rPr>
          <w:rFonts w:hint="eastAsia"/>
        </w:rPr>
        <w:t xml:space="preserve">以广义加速度</w:t>
      </w:r>
      <m:oMath>
        <m:r>
          <m:rPr>
            <m:sty m:val="bi"/>
          </m:rPr>
          <m:t>a</m:t>
        </m:r>
      </m:oMath>
      <w:r>
        <w:rPr>
          <w:rFonts w:hint="eastAsia"/>
        </w:rPr>
        <w:t xml:space="preserve">、总命令等效力矩</w:t>
      </w:r>
      <m:oMath>
        <m:r>
          <m:rPr>
            <m:sty m:val="bi"/>
          </m:rPr>
          <m:t>z</m:t>
        </m:r>
      </m:oMath>
      <w:r>
        <w:rPr>
          <w:rFonts w:hint="eastAsia"/>
        </w:rPr>
        <w:t xml:space="preserve">、模态加速度及界面载荷组成变量</w:t>
      </w:r>
      <m:oMath>
        <m:r>
          <m:rPr>
            <m:sty m:val="bi"/>
          </m:rPr>
          <m:t>χ</m:t>
        </m:r>
      </m:oMath>
      <w:r>
        <w:rPr>
          <w:rFonts w:hint="eastAsia"/>
        </w:rPr>
        <w:t xml:space="preserve">，采用下述QP组织运动要求与驱动约束：</w:t>
      </w:r>
    </w:p>
    <w:p>
      <w:pPr>
        <w:pStyle w:val="BodyText"/>
        <w:keepLines/>
        <w:widowControl/>
        <w:spacing w:line="240" w:lineRule="auto"/>
        <w:ind w:firstLine="0"/>
        <w:jc w:val="center"/>
      </w:pPr>
      <m:oMathPara>
        <m:oMathParaPr>
          <m:jc m:val="center"/>
        </m:oMathParaPr>
        <m:oMath>
          <m:m>
            <m:mPr>
              <m:baseJc m:val="center"/>
              <m:plcHide m:val="on"/>
              <m:mcs>
                <m:mc>
                  <m:mcPr>
                    <m:mcJc m:val="center"/>
                    <m:count m:val="1"/>
                  </m:mcPr>
                </m:mc>
              </m:mcs>
            </m:mPr>
            <m:mr>
              <m:e>
                <m:limLow>
                  <m:e>
                    <m:r>
                      <m:rPr>
                        <m:sty m:val="p"/>
                      </m:rPr>
                      <m:t>min</m:t>
                    </m:r>
                  </m:e>
                  <m:lim>
                    <m:r>
                      <m:rPr>
                        <m:sty m:val="bi"/>
                      </m:rPr>
                      <m:t>χ</m:t>
                    </m:r>
                  </m:lim>
                </m:limLow>
                <m:r>
                  <m:t> </m:t>
                </m:r>
                <m:f>
                  <m:fPr>
                    <m:type m:val="lin"/>
                  </m:fPr>
                  <m:num>
                    <m:r>
                      <m:t>1</m:t>
                    </m:r>
                  </m:num>
                  <m:den>
                    <m:r>
                      <m:t>2</m:t>
                    </m:r>
                  </m:den>
                </m:f>
                <m:r>
                  <m:rPr>
                    <m:sty m:val="p"/>
                  </m:rPr>
                  <m:t>∥</m:t>
                </m:r>
                <m:sSub>
                  <m:e>
                    <m:r>
                      <m:rPr>
                        <m:sty m:val="bi"/>
                      </m:rPr>
                      <m:t>a</m:t>
                    </m:r>
                  </m:e>
                  <m:sub>
                    <m:r>
                      <m:t>E</m:t>
                    </m:r>
                  </m:sub>
                </m:sSub>
                <m:r>
                  <m:rPr>
                    <m:sty m:val="p"/>
                  </m:rPr>
                  <m:t>−</m:t>
                </m:r>
                <m:sSubSup>
                  <m:e>
                    <m:r>
                      <m:rPr>
                        <m:sty m:val="bi"/>
                      </m:rPr>
                      <m:t>a</m:t>
                    </m:r>
                  </m:e>
                  <m:sub>
                    <m:r>
                      <m:t>E</m:t>
                    </m:r>
                  </m:sub>
                  <m:sup>
                    <m:r>
                      <m:rPr>
                        <m:sty m:val="p"/>
                      </m:rPr>
                      <m:t>i</m:t>
                    </m:r>
                    <m:r>
                      <m:rPr>
                        <m:sty m:val="p"/>
                      </m:rPr>
                      <m:t>m</m:t>
                    </m:r>
                    <m:r>
                      <m:rPr>
                        <m:sty m:val="p"/>
                      </m:rPr>
                      <m:t>p</m:t>
                    </m:r>
                  </m:sup>
                </m:sSubSup>
                <m:sSubSup>
                  <m:e>
                    <m:r>
                      <m:rPr>
                        <m:sty m:val="p"/>
                      </m:rPr>
                      <m:t>∥</m:t>
                    </m:r>
                  </m:e>
                  <m:sub>
                    <m:sSub>
                      <m:e>
                        <m:r>
                          <m:rPr>
                            <m:sty m:val="bi"/>
                          </m:rPr>
                          <m:t>W</m:t>
                        </m:r>
                      </m:e>
                      <m:sub>
                        <m:r>
                          <m:t>E</m:t>
                        </m:r>
                      </m:sub>
                    </m:sSub>
                  </m:sub>
                  <m:sup>
                    <m:r>
                      <m:t>2</m:t>
                    </m:r>
                  </m:sup>
                </m:sSubSup>
                <m:r>
                  <m:rPr>
                    <m:sty m:val="p"/>
                  </m:rPr>
                  <m:t>+</m:t>
                </m:r>
                <m:f>
                  <m:fPr>
                    <m:type m:val="lin"/>
                  </m:fPr>
                  <m:num>
                    <m:r>
                      <m:t>1</m:t>
                    </m:r>
                  </m:num>
                  <m:den>
                    <m:r>
                      <m:t>2</m:t>
                    </m:r>
                  </m:den>
                </m:f>
                <m:r>
                  <m:rPr>
                    <m:sty m:val="p"/>
                  </m:rPr>
                  <m:t>∥</m:t>
                </m:r>
                <m:sSub>
                  <m:e>
                    <m:r>
                      <m:rPr>
                        <m:sty m:val="bi"/>
                      </m:rPr>
                      <m:t>a</m:t>
                    </m:r>
                  </m:e>
                  <m:sub>
                    <m:r>
                      <m:t>j</m:t>
                    </m:r>
                  </m:sub>
                </m:sSub>
                <m:r>
                  <m:rPr>
                    <m:sty m:val="p"/>
                  </m:rPr>
                  <m:t>−</m:t>
                </m:r>
                <m:sSubSup>
                  <m:e>
                    <m:r>
                      <m:rPr>
                        <m:sty m:val="bi"/>
                      </m:rPr>
                      <m:t>a</m:t>
                    </m:r>
                  </m:e>
                  <m:sub>
                    <m:r>
                      <m:t>j</m:t>
                    </m:r>
                  </m:sub>
                  <m:sup>
                    <m:r>
                      <m:rPr>
                        <m:sty m:val="p"/>
                      </m:rPr>
                      <m:t>r</m:t>
                    </m:r>
                    <m:r>
                      <m:rPr>
                        <m:sty m:val="p"/>
                      </m:rPr>
                      <m:t>e</m:t>
                    </m:r>
                    <m:r>
                      <m:rPr>
                        <m:sty m:val="p"/>
                      </m:rPr>
                      <m:t>f</m:t>
                    </m:r>
                  </m:sup>
                </m:sSubSup>
                <m:sSubSup>
                  <m:e>
                    <m:r>
                      <m:rPr>
                        <m:sty m:val="p"/>
                      </m:rPr>
                      <m:t>∥</m:t>
                    </m:r>
                  </m:e>
                  <m:sub>
                    <m:sSub>
                      <m:e>
                        <m:r>
                          <m:rPr>
                            <m:sty m:val="bi"/>
                          </m:rPr>
                          <m:t>W</m:t>
                        </m:r>
                      </m:e>
                      <m:sub>
                        <m:r>
                          <m:t>j</m:t>
                        </m:r>
                      </m:sub>
                    </m:sSub>
                  </m:sub>
                  <m:sup>
                    <m:r>
                      <m:t>2</m:t>
                    </m:r>
                  </m:sup>
                </m:sSubSup>
                <m:r>
                  <m:rPr>
                    <m:sty m:val="p"/>
                  </m:rPr>
                  <m:t>+</m:t>
                </m:r>
                <m:f>
                  <m:fPr>
                    <m:type m:val="lin"/>
                  </m:fPr>
                  <m:num>
                    <m:r>
                      <m:t>1</m:t>
                    </m:r>
                  </m:num>
                  <m:den>
                    <m:r>
                      <m:t>2</m:t>
                    </m:r>
                  </m:den>
                </m:f>
                <m:r>
                  <m:rPr>
                    <m:sty m:val="p"/>
                  </m:rPr>
                  <m:t>∥</m:t>
                </m:r>
                <m:r>
                  <m:rPr>
                    <m:sty m:val="bi"/>
                  </m:rPr>
                  <m:t>z</m:t>
                </m:r>
                <m:sSubSup>
                  <m:e>
                    <m:r>
                      <m:rPr>
                        <m:sty m:val="p"/>
                      </m:rPr>
                      <m:t>∥</m:t>
                    </m:r>
                  </m:e>
                  <m:sub>
                    <m:r>
                      <m:rPr>
                        <m:sty m:val="bi"/>
                      </m:rPr>
                      <m:t>R</m:t>
                    </m:r>
                  </m:sub>
                  <m:sup>
                    <m:r>
                      <m:t>2</m:t>
                    </m:r>
                  </m:sup>
                </m:sSubSup>
                <m:r>
                  <m:rPr>
                    <m:sty m:val="p"/>
                  </m:rPr>
                  <m:t>,</m:t>
                </m:r>
              </m:e>
            </m:mr>
            <m:mr>
              <m:e>
                <m:r>
                  <m:rPr>
                    <m:sty m:val="p"/>
                  </m:rPr>
                  <m:t>s</m:t>
                </m:r>
                <m:r>
                  <m:rPr>
                    <m:sty m:val="p"/>
                  </m:rPr>
                  <m:t>.</m:t>
                </m:r>
                <m:r>
                  <m:rPr>
                    <m:sty m:val="p"/>
                  </m:rPr>
                  <m:t>t</m:t>
                </m:r>
                <m:r>
                  <m:rPr>
                    <m:sty m:val="p"/>
                  </m:rPr>
                  <m:t>.</m:t>
                </m:r>
                <m:r>
                  <m:t> </m:t>
                </m:r>
                <m:acc>
                  <m:accPr>
                    <m:chr m:val="̂"/>
                  </m:accPr>
                  <m:e>
                    <m:r>
                      <m:rPr>
                        <m:sty m:val="bi"/>
                      </m:rPr>
                      <m:t>M</m:t>
                    </m:r>
                  </m:e>
                </m:acc>
                <m:r>
                  <m:rPr>
                    <m:sty m:val="bi"/>
                  </m:rPr>
                  <m:t>a</m:t>
                </m:r>
                <m:r>
                  <m:rPr>
                    <m:sty m:val="p"/>
                  </m:rPr>
                  <m:t>+</m:t>
                </m:r>
                <m:acc>
                  <m:accPr>
                    <m:chr m:val="̂"/>
                  </m:accPr>
                  <m:e>
                    <m:r>
                      <m:rPr>
                        <m:sty m:val="bi"/>
                      </m:rPr>
                      <m:t>h</m:t>
                    </m:r>
                  </m:e>
                </m:acc>
                <m:r>
                  <m:rPr>
                    <m:sty m:val="p"/>
                  </m:rPr>
                  <m:t>=</m:t>
                </m:r>
                <m:sSup>
                  <m:e>
                    <m:r>
                      <m:rPr>
                        <m:sty m:val="bi"/>
                      </m:rPr>
                      <m:t>S</m:t>
                    </m:r>
                  </m:e>
                  <m:sup>
                    <m:r>
                      <m:rPr>
                        <m:scr m:val="sans-serif"/>
                        <m:sty m:val="p"/>
                      </m:rPr>
                      <m:t>T</m:t>
                    </m:r>
                  </m:sup>
                </m:sSup>
                <m:r>
                  <m:rPr>
                    <m:sty m:val="p"/>
                  </m:rPr>
                  <m:t>(</m:t>
                </m:r>
                <m:r>
                  <m:rPr>
                    <m:sty m:val="bi"/>
                  </m:rPr>
                  <m:t>z</m:t>
                </m:r>
                <m:r>
                  <m:rPr>
                    <m:sty m:val="p"/>
                  </m:rPr>
                  <m:t>−</m:t>
                </m:r>
                <m:r>
                  <m:rPr>
                    <m:sty m:val="bi"/>
                  </m:rPr>
                  <m:t>d</m:t>
                </m:r>
                <m:r>
                  <m:rPr>
                    <m:sty m:val="p"/>
                  </m:rPr>
                  <m:t>)</m:t>
                </m:r>
                <m:r>
                  <m:rPr>
                    <m:sty m:val="p"/>
                  </m:rPr>
                  <m:t>+</m:t>
                </m:r>
                <m:sSubSup>
                  <m:e>
                    <m:r>
                      <m:rPr>
                        <m:sty m:val="bi"/>
                      </m:rPr>
                      <m:t>J</m:t>
                    </m:r>
                  </m:e>
                  <m:sub>
                    <m:r>
                      <m:t>b</m:t>
                    </m:r>
                  </m:sub>
                  <m:sup>
                    <m:r>
                      <m:rPr>
                        <m:scr m:val="sans-serif"/>
                        <m:sty m:val="p"/>
                      </m:rPr>
                      <m:t>T</m:t>
                    </m:r>
                  </m:sup>
                </m:sSubSup>
                <m:sSub>
                  <m:e>
                    <m:r>
                      <m:rPr>
                        <m:sty m:val="bi"/>
                      </m:rPr>
                      <m:t>w</m:t>
                    </m:r>
                  </m:e>
                  <m:sub>
                    <m:r>
                      <m:t>b</m:t>
                    </m:r>
                  </m:sub>
                </m:sSub>
                <m:r>
                  <m:rPr>
                    <m:sty m:val="p"/>
                  </m:rPr>
                  <m:t>+</m:t>
                </m:r>
                <m:sSubSup>
                  <m:e>
                    <m:r>
                      <m:rPr>
                        <m:sty m:val="bi"/>
                      </m:rPr>
                      <m:t>J</m:t>
                    </m:r>
                  </m:e>
                  <m:sub>
                    <m:r>
                      <m:t>E</m:t>
                    </m:r>
                  </m:sub>
                  <m:sup>
                    <m:r>
                      <m:rPr>
                        <m:scr m:val="sans-serif"/>
                        <m:sty m:val="p"/>
                      </m:rPr>
                      <m:t>T</m:t>
                    </m:r>
                  </m:sup>
                </m:sSubSup>
                <m:sSub>
                  <m:e>
                    <m:r>
                      <m:rPr>
                        <m:sty m:val="bi"/>
                      </m:rPr>
                      <m:t>w</m:t>
                    </m:r>
                  </m:e>
                  <m:sub>
                    <m:r>
                      <m:t>E</m:t>
                    </m:r>
                  </m:sub>
                </m:sSub>
                <m:r>
                  <m:rPr>
                    <m:sty m:val="p"/>
                  </m:rPr>
                  <m:t>,</m:t>
                </m:r>
              </m:e>
            </m:mr>
            <m:mr>
              <m:e>
                <m:sSub>
                  <m:e>
                    <m:r>
                      <m:rPr>
                        <m:sty m:val="bi"/>
                      </m:rPr>
                      <m:t>z</m:t>
                    </m:r>
                  </m:e>
                  <m:sub>
                    <m:r>
                      <m:rPr>
                        <m:sty m:val="p"/>
                      </m:rPr>
                      <m:t>min</m:t>
                    </m:r>
                  </m:sub>
                </m:sSub>
                <m:r>
                  <m:rPr>
                    <m:sty m:val="p"/>
                  </m:rPr>
                  <m:t>≤</m:t>
                </m:r>
                <m:r>
                  <m:rPr>
                    <m:sty m:val="bi"/>
                  </m:rPr>
                  <m:t>z</m:t>
                </m:r>
                <m:r>
                  <m:rPr>
                    <m:sty m:val="p"/>
                  </m:rPr>
                  <m:t>≤</m:t>
                </m:r>
                <m:sSub>
                  <m:e>
                    <m:r>
                      <m:rPr>
                        <m:sty m:val="bi"/>
                      </m:rPr>
                      <m:t>z</m:t>
                    </m:r>
                  </m:e>
                  <m:sub>
                    <m:r>
                      <m:rPr>
                        <m:sty m:val="p"/>
                      </m:rPr>
                      <m:t>max</m:t>
                    </m:r>
                  </m:sub>
                </m:sSub>
                <m:r>
                  <m:rPr>
                    <m:sty m:val="p"/>
                  </m:rPr>
                  <m:t>,</m:t>
                </m:r>
                <m:r>
                  <m:t>  </m:t>
                </m:r>
                <m:r>
                  <m:rPr>
                    <m:sty m:val="p"/>
                  </m:rPr>
                  <m:t>|</m:t>
                </m:r>
                <m:r>
                  <m:rPr>
                    <m:sty m:val="bi"/>
                  </m:rPr>
                  <m:t>z</m:t>
                </m:r>
                <m:r>
                  <m:rPr>
                    <m:sty m:val="p"/>
                  </m:rPr>
                  <m:t>−</m:t>
                </m:r>
                <m:sSub>
                  <m:e>
                    <m:r>
                      <m:rPr>
                        <m:sty m:val="bi"/>
                      </m:rPr>
                      <m:t>z</m:t>
                    </m:r>
                  </m:e>
                  <m:sub>
                    <m:r>
                      <m:t>k</m:t>
                    </m:r>
                    <m:r>
                      <m:rPr>
                        <m:sty m:val="p"/>
                      </m:rPr>
                      <m:t>−</m:t>
                    </m:r>
                    <m:r>
                      <m:t>1</m:t>
                    </m:r>
                  </m:sub>
                </m:sSub>
                <m:r>
                  <m:rPr>
                    <m:sty m:val="p"/>
                  </m:rPr>
                  <m:t>|</m:t>
                </m:r>
                <m:r>
                  <m:rPr>
                    <m:sty m:val="p"/>
                  </m:rPr>
                  <m:t>≤</m:t>
                </m:r>
                <m:r>
                  <m:rPr>
                    <m:sty m:val="p"/>
                  </m:rPr>
                  <m:t>Δ</m:t>
                </m:r>
                <m:sSub>
                  <m:e>
                    <m:r>
                      <m:rPr>
                        <m:sty m:val="bi"/>
                      </m:rPr>
                      <m:t>z</m:t>
                    </m:r>
                  </m:e>
                  <m:sub>
                    <m:r>
                      <m:rPr>
                        <m:sty m:val="p"/>
                      </m:rPr>
                      <m:t>max</m:t>
                    </m:r>
                  </m:sub>
                </m:sSub>
                <m:r>
                  <m:rPr>
                    <m:sty m:val="p"/>
                  </m:rPr>
                  <m:t>,</m:t>
                </m:r>
                <m:r>
                  <m:t>  </m:t>
                </m:r>
                <m:r>
                  <m:rPr>
                    <m:sty m:val="bi"/>
                  </m:rPr>
                  <m:t>a</m:t>
                </m:r>
                <m:r>
                  <m:rPr>
                    <m:sty m:val="p"/>
                  </m:rPr>
                  <m:t>∈</m:t>
                </m:r>
                <m:sSub>
                  <m:e>
                    <m:r>
                      <m:rPr>
                        <m:scr m:val="script"/>
                        <m:sty m:val="p"/>
                      </m:rPr>
                      <m:t>A</m:t>
                    </m:r>
                  </m:e>
                  <m:sub>
                    <m:r>
                      <m:t>k</m:t>
                    </m:r>
                  </m:sub>
                </m:sSub>
                <m:r>
                  <m:rPr>
                    <m:sty m:val="p"/>
                  </m:rPr>
                  <m:t>,</m:t>
                </m:r>
                <m:r>
                  <m:t> </m:t>
                </m:r>
                <m:r>
                  <m:rPr>
                    <m:sty m:val="bi"/>
                  </m:rPr>
                  <m:t>χ</m:t>
                </m:r>
                <m:r>
                  <m:rPr>
                    <m:sty m:val="p"/>
                  </m:rPr>
                  <m:t>∈</m:t>
                </m:r>
                <m:sSubSup>
                  <m:e>
                    <m:r>
                      <m:rPr>
                        <m:scr m:val="script"/>
                        <m:sty m:val="p"/>
                      </m:rPr>
                      <m:t>C</m:t>
                    </m:r>
                  </m:e>
                  <m:sub>
                    <m:r>
                      <m:t>k</m:t>
                    </m:r>
                  </m:sub>
                  <m:sup>
                    <m:r>
                      <m:rPr>
                        <m:sty m:val="p"/>
                      </m:rPr>
                      <m:t>i</m:t>
                    </m:r>
                    <m:r>
                      <m:rPr>
                        <m:sty m:val="p"/>
                      </m:rPr>
                      <m:t>n</m:t>
                    </m:r>
                    <m:r>
                      <m:rPr>
                        <m:sty m:val="p"/>
                      </m:rPr>
                      <m:t>t</m:t>
                    </m:r>
                  </m:sup>
                </m:sSubSup>
                <m:r>
                  <m:rPr>
                    <m:sty m:val="p"/>
                  </m:rPr>
                  <m:t>.</m:t>
                </m:r>
              </m:e>
            </m:mr>
          </m:m>
          <m:r>
            <m:t>  </m:t>
          </m:r>
          <m:r>
            <m:rPr>
              <m:nor/>
              <m:sty m:val="p"/>
            </m:rPr>
            <m:t>(2)</m:t>
          </m:r>
        </m:oMath>
      </m:oMathPara>
    </w:p>
    <w:p>
      <w:pPr>
        <w:pStyle w:val="FirstParagraph"/>
        <w:widowControl/>
        <w:ind w:firstLine="480"/>
        <w:jc w:val="both"/>
      </w:pPr>
      <w:r>
        <w:rPr>
          <w:rFonts w:hint="eastAsia"/>
        </w:rPr>
        <w:t xml:space="preserve">其中，</w:t>
      </w:r>
      <m:oMath>
        <m:acc>
          <m:accPr>
            <m:chr m:val="̂"/>
          </m:accPr>
          <m:e>
            <m:r>
              <m:rPr>
                <m:sty m:val="bi"/>
              </m:rPr>
              <m:t>M</m:t>
            </m:r>
          </m:e>
        </m:acc>
      </m:oMath>
      <w:r>
        <w:t xml:space="preserve">、</w:t>
      </w:r>
      <m:oMath>
        <m:acc>
          <m:accPr>
            <m:chr m:val="̂"/>
          </m:accPr>
          <m:e>
            <m:r>
              <m:rPr>
                <m:sty m:val="bi"/>
              </m:rPr>
              <m:t>h</m:t>
            </m:r>
          </m:e>
        </m:acc>
      </m:oMath>
      <w:r>
        <w:rPr>
          <w:rFonts w:hint="eastAsia"/>
        </w:rPr>
        <w:t xml:space="preserve">为名义动力学量，</w:t>
      </w:r>
      <m:oMath>
        <m:r>
          <m:rPr>
            <m:sty m:val="bi"/>
          </m:rPr>
          <m:t>S</m:t>
        </m:r>
      </m:oMath>
      <w:r>
        <w:rPr>
          <w:rFonts w:hint="eastAsia"/>
        </w:rPr>
        <w:t xml:space="preserve">为驱动选择矩阵，</w:t>
      </w:r>
      <m:oMath>
        <m:sSub>
          <m:e>
            <m:r>
              <m:rPr>
                <m:sty m:val="bi"/>
              </m:rPr>
              <m:t>w</m:t>
            </m:r>
          </m:e>
          <m:sub>
            <m:r>
              <m:t>b</m:t>
            </m:r>
          </m:sub>
        </m:sSub>
      </m:oMath>
      <w:r>
        <w:t xml:space="preserve">、</w:t>
      </w:r>
      <m:oMath>
        <m:sSub>
          <m:e>
            <m:r>
              <m:rPr>
                <m:sty m:val="bi"/>
              </m:rPr>
              <m:t>w</m:t>
            </m:r>
          </m:e>
          <m:sub>
            <m:r>
              <m:t>E</m:t>
            </m:r>
          </m:sub>
        </m:sSub>
      </m:oMath>
      <w:r>
        <w:rPr>
          <w:rFonts w:hint="eastAsia"/>
        </w:rPr>
        <w:t xml:space="preserve">分别为安装界面和末端的物理作用力旋量；</w:t>
      </w:r>
      <m:oMath>
        <m:sSubSup>
          <m:e>
            <m:r>
              <m:rPr>
                <m:sty m:val="bi"/>
              </m:rPr>
              <m:t>a</m:t>
            </m:r>
          </m:e>
          <m:sub>
            <m:r>
              <m:t>j</m:t>
            </m:r>
          </m:sub>
          <m:sup>
            <m:r>
              <m:rPr>
                <m:sty m:val="p"/>
              </m:rPr>
              <m:t>r</m:t>
            </m:r>
            <m:r>
              <m:rPr>
                <m:sty m:val="p"/>
              </m:rPr>
              <m:t>e</m:t>
            </m:r>
            <m:r>
              <m:rPr>
                <m:sty m:val="p"/>
              </m:rPr>
              <m:t>f</m:t>
            </m:r>
          </m:sup>
        </m:sSubSup>
      </m:oMath>
      <w:r>
        <w:rPr>
          <w:rFonts w:hint="eastAsia"/>
        </w:rPr>
        <w:t xml:space="preserve">用于关节运动正则，</w:t>
      </w:r>
      <m:oMath>
        <m:r>
          <m:rPr>
            <m:sty m:val="p"/>
          </m:rPr>
          <m:t>∥</m:t>
        </m:r>
        <m:r>
          <m:rPr>
            <m:sty m:val="bi"/>
          </m:rPr>
          <m:t>x</m:t>
        </m:r>
        <m:sSubSup>
          <m:e>
            <m:r>
              <m:rPr>
                <m:sty m:val="p"/>
              </m:rPr>
              <m:t>∥</m:t>
            </m:r>
          </m:e>
          <m:sub>
            <m:r>
              <m:rPr>
                <m:sty m:val="bi"/>
              </m:rPr>
              <m:t>W</m:t>
            </m:r>
          </m:sub>
          <m:sup>
            <m:r>
              <m:t>2</m:t>
            </m:r>
          </m:sup>
        </m:sSubSup>
        <m:r>
          <m:rPr>
            <m:sty m:val="p"/>
          </m:rPr>
          <m:t>=</m:t>
        </m:r>
        <m:sSup>
          <m:e>
            <m:r>
              <m:rPr>
                <m:sty m:val="bi"/>
              </m:rPr>
              <m:t>x</m:t>
            </m:r>
          </m:e>
          <m:sup>
            <m:r>
              <m:rPr>
                <m:scr m:val="sans-serif"/>
                <m:sty m:val="p"/>
              </m:rPr>
              <m:t>T</m:t>
            </m:r>
          </m:sup>
        </m:sSup>
        <m:r>
          <m:rPr>
            <m:sty m:val="bi"/>
          </m:rPr>
          <m:t>W</m:t>
        </m:r>
        <m:r>
          <m:rPr>
            <m:sty m:val="bi"/>
          </m:rPr>
          <m:t>x</m:t>
        </m:r>
      </m:oMath>
      <w:r>
        <w:rPr>
          <w:rFonts w:hint="eastAsia"/>
        </w:rPr>
        <w:t xml:space="preserve">。集合</w:t>
      </w:r>
      <m:oMath>
        <m:sSub>
          <m:e>
            <m:r>
              <m:rPr>
                <m:scr m:val="script"/>
                <m:sty m:val="p"/>
              </m:rPr>
              <m:t>A</m:t>
            </m:r>
          </m:e>
          <m:sub>
            <m:r>
              <m:t>k</m:t>
            </m:r>
          </m:sub>
        </m:sSub>
      </m:oMath>
      <w:r>
        <w:rPr>
          <w:rFonts w:hint="eastAsia"/>
        </w:rPr>
        <w:t xml:space="preserve">包含关节边界，</w:t>
      </w:r>
      <m:oMath>
        <m:sSubSup>
          <m:e>
            <m:r>
              <m:rPr>
                <m:scr m:val="script"/>
                <m:sty m:val="p"/>
              </m:rPr>
              <m:t>C</m:t>
            </m:r>
          </m:e>
          <m:sub>
            <m:r>
              <m:t>k</m:t>
            </m:r>
          </m:sub>
          <m:sup>
            <m:r>
              <m:rPr>
                <m:sty m:val="p"/>
              </m:rPr>
              <m:t>i</m:t>
            </m:r>
            <m:r>
              <m:rPr>
                <m:sty m:val="p"/>
              </m:rPr>
              <m:t>n</m:t>
            </m:r>
            <m:r>
              <m:rPr>
                <m:sty m:val="p"/>
              </m:rPr>
              <m:t>t</m:t>
            </m:r>
          </m:sup>
        </m:sSubSup>
      </m:oMath>
      <w:r>
        <w:rPr>
          <w:rFonts w:hint="eastAsia"/>
        </w:rPr>
        <w:t xml:space="preserve">表示当前状态下支撑模态动力学与安装界面加速度相容关系构成的线性约束；界面载荷由上述关系联立确定。自由运动时</w:t>
      </w:r>
      <m:oMath>
        <m:sSub>
          <m:e>
            <m:r>
              <m:rPr>
                <m:sty m:val="bi"/>
              </m:rPr>
              <m:t>w</m:t>
            </m:r>
          </m:e>
          <m:sub>
            <m:r>
              <m:t>E</m:t>
            </m:r>
          </m:sub>
        </m:sSub>
        <m:r>
          <m:rPr>
            <m:sty m:val="p"/>
          </m:rPr>
          <m:t>=</m:t>
        </m:r>
        <m:r>
          <m:t>0</m:t>
        </m:r>
      </m:oMath>
      <w:r>
        <w:rPr>
          <w:rFonts w:hint="eastAsia"/>
        </w:rPr>
        <w:t xml:space="preserve">，接触阶段根据测量或经校核的估计引入末端外力。</w:t>
      </w:r>
    </w:p>
    <w:p>
      <w:pPr>
        <w:pStyle w:val="BodyText"/>
        <w:widowControl/>
        <w:ind w:firstLine="480"/>
        <w:jc w:val="both"/>
      </w:pPr>
      <w:r>
        <w:rPr>
          <w:rFonts w:hint="eastAsia"/>
        </w:rPr>
        <w:t xml:space="preserve">式中</w:t>
      </w:r>
      <m:oMath>
        <m:r>
          <m:rPr>
            <m:sty m:val="bi"/>
          </m:rPr>
          <m:t>d</m:t>
        </m:r>
      </m:oMath>
      <w:r>
        <w:rPr>
          <w:rFonts w:hint="eastAsia"/>
        </w:rPr>
        <w:t xml:space="preserve">为求解前给定的学习补偿，未学习时取零；</w:t>
      </w:r>
      <m:oMath>
        <m:r>
          <m:rPr>
            <m:sty m:val="bi"/>
          </m:rPr>
          <m:t>z</m:t>
        </m:r>
        <m:r>
          <m:rPr>
            <m:sty m:val="p"/>
          </m:rPr>
          <m:t>−</m:t>
        </m:r>
        <m:r>
          <m:rPr>
            <m:sty m:val="bi"/>
          </m:rPr>
          <m:t>d</m:t>
        </m:r>
      </m:oMath>
      <w:r>
        <w:rPr>
          <w:rFonts w:hint="eastAsia"/>
        </w:rPr>
        <w:t xml:space="preserve">对应名义模型力矩，实际指令按重力约定换算。结合支撑响应整定阻抗参数与优化权重，分析参考跟踪松弛对柔顺性的影响。</w:t>
      </w:r>
    </w:p>
    <w:bookmarkEnd w:id="48"/>
    <w:bookmarkStart w:id="49" w:name="面向实际执行偏差的残差强化学习融合"/>
    <w:p>
      <w:pPr>
        <w:pStyle w:val="Heading3"/>
        <w:widowControl/>
      </w:pPr>
      <w:r>
        <w:t xml:space="preserve">3.3　</w:t>
      </w:r>
      <w:r>
        <w:rPr>
          <w:rFonts w:hint="eastAsia"/>
        </w:rPr>
        <w:t xml:space="preserve">面向实际执行偏差的残差强化学习融合</w:t>
      </w:r>
    </w:p>
    <w:p>
      <w:pPr>
        <w:pStyle w:val="FirstParagraph"/>
        <w:widowControl/>
        <w:ind w:firstLine="480"/>
        <w:jc w:val="both"/>
      </w:pPr>
      <w:r>
        <w:rPr>
          <w:rFonts w:hint="eastAsia"/>
        </w:rPr>
        <w:t xml:space="preserve">继承已有方法的模型引导、历史响应和参考预览信息，以实际状态、运动误差及可观测支撑响应组织策略输入。策略输出有界力矩残差，经平滑处理后送入式（2）：</w:t>
      </w:r>
    </w:p>
    <w:p>
      <w:pPr>
        <w:pStyle w:val="BodyText"/>
        <w:keepLines/>
        <w:widowControl/>
        <w:spacing w:line="240" w:lineRule="auto"/>
        <w:ind w:firstLine="0"/>
        <w:jc w:val="center"/>
      </w:pPr>
      <m:oMathPara>
        <m:oMathParaPr>
          <m:jc m:val="center"/>
        </m:oMathParaPr>
        <m:oMath>
          <m:sSub>
            <m:e>
              <m:r>
                <m:rPr>
                  <m:sty m:val="bi"/>
                </m:rPr>
                <m:t>d</m:t>
              </m:r>
            </m:e>
            <m:sub>
              <m:r>
                <m:t>k</m:t>
              </m:r>
            </m:sub>
          </m:sSub>
          <m:r>
            <m:rPr>
              <m:sty m:val="p"/>
            </m:rPr>
            <m:t>=</m:t>
          </m:r>
          <m:r>
            <m:rPr>
              <m:scr m:val="script"/>
              <m:sty m:val="p"/>
            </m:rPr>
            <m:t>F</m:t>
          </m:r>
          <m:r>
            <m:t>​</m:t>
          </m:r>
          <m:d>
            <m:dPr>
              <m:begChr m:val="["/>
              <m:sepChr m:val=""/>
              <m:endChr m:val="]"/>
              <m:grow/>
            </m:dPr>
            <m:e>
              <m:sSub>
                <m:e>
                  <m:r>
                    <m:t>π</m:t>
                  </m:r>
                </m:e>
                <m:sub>
                  <m:r>
                    <m:t>θ</m:t>
                  </m:r>
                </m:sub>
              </m:sSub>
              <m:r>
                <m:rPr>
                  <m:sty m:val="p"/>
                </m:rPr>
                <m:t>(</m:t>
              </m:r>
              <m:sSub>
                <m:e>
                  <m:r>
                    <m:rPr>
                      <m:sty m:val="bi"/>
                    </m:rPr>
                    <m:t>o</m:t>
                  </m:r>
                </m:e>
                <m:sub>
                  <m:r>
                    <m:t>k</m:t>
                  </m:r>
                </m:sub>
              </m:sSub>
              <m:r>
                <m:rPr>
                  <m:sty m:val="p"/>
                </m:rPr>
                <m:t>)</m:t>
              </m:r>
            </m:e>
          </m:d>
          <m:r>
            <m:rPr>
              <m:sty m:val="p"/>
            </m:rPr>
            <m:t>,</m:t>
          </m:r>
          <m:r>
            <m:t>  </m:t>
          </m:r>
          <m:sSub>
            <m:e>
              <m:r>
                <m:rPr>
                  <m:sty m:val="bi"/>
                </m:rPr>
                <m:t>τ</m:t>
              </m:r>
            </m:e>
            <m:sub>
              <m:r>
                <m:rPr>
                  <m:sty m:val="p"/>
                </m:rPr>
                <m:t>n</m:t>
              </m:r>
              <m:r>
                <m:rPr>
                  <m:sty m:val="p"/>
                </m:rPr>
                <m:t>o</m:t>
              </m:r>
              <m:r>
                <m:rPr>
                  <m:sty m:val="p"/>
                </m:rPr>
                <m:t>m</m:t>
              </m:r>
              <m:r>
                <m:rPr>
                  <m:sty m:val="p"/>
                </m:rPr>
                <m:t>,</m:t>
              </m:r>
              <m:r>
                <m:t>k</m:t>
              </m:r>
            </m:sub>
          </m:sSub>
          <m:r>
            <m:rPr>
              <m:sty m:val="p"/>
            </m:rPr>
            <m:t>=</m:t>
          </m:r>
          <m:sSub>
            <m:e>
              <m:r>
                <m:rPr>
                  <m:sty m:val="bi"/>
                </m:rPr>
                <m:t>z</m:t>
              </m:r>
            </m:e>
            <m:sub>
              <m:r>
                <m:t>k</m:t>
              </m:r>
            </m:sub>
          </m:sSub>
          <m:r>
            <m:rPr>
              <m:sty m:val="p"/>
            </m:rPr>
            <m:t>−</m:t>
          </m:r>
          <m:sSub>
            <m:e>
              <m:r>
                <m:rPr>
                  <m:sty m:val="bi"/>
                </m:rPr>
                <m:t>d</m:t>
              </m:r>
            </m:e>
            <m:sub>
              <m:r>
                <m:t>k</m:t>
              </m:r>
            </m:sub>
          </m:sSub>
          <m:r>
            <m:rPr>
              <m:sty m:val="p"/>
            </m:rPr>
            <m:t>.</m:t>
          </m:r>
          <m:r>
            <m:t>  </m:t>
          </m:r>
          <m:r>
            <m:rPr>
              <m:nor/>
              <m:sty m:val="p"/>
            </m:rPr>
            <m:t>(3)</m:t>
          </m:r>
        </m:oMath>
      </m:oMathPara>
    </w:p>
    <w:p>
      <w:pPr>
        <w:pStyle w:val="FirstParagraph"/>
        <w:widowControl/>
        <w:ind w:firstLine="480"/>
        <w:jc w:val="both"/>
      </w:pPr>
      <w:r>
        <w:rPr>
          <w:rFonts w:hint="eastAsia"/>
        </w:rPr>
        <w:t xml:space="preserve">其中，</w:t>
      </w:r>
      <m:oMath>
        <m:sSub>
          <m:e>
            <m:r>
              <m:t>π</m:t>
            </m:r>
          </m:e>
          <m:sub>
            <m:r>
              <m:t>θ</m:t>
            </m:r>
          </m:sub>
        </m:sSub>
      </m:oMath>
      <w:r>
        <w:rPr>
          <w:rFonts w:hint="eastAsia"/>
        </w:rPr>
        <w:t xml:space="preserve">为残差策略，</w:t>
      </w:r>
      <m:oMath>
        <m:sSub>
          <m:e>
            <m:r>
              <m:rPr>
                <m:sty m:val="bi"/>
              </m:rPr>
              <m:t>o</m:t>
            </m:r>
          </m:e>
          <m:sub>
            <m:r>
              <m:t>k</m:t>
            </m:r>
          </m:sub>
        </m:sSub>
      </m:oMath>
      <w:r>
        <w:rPr>
          <w:rFonts w:hint="eastAsia"/>
        </w:rPr>
        <w:t xml:space="preserve">包含当前可用观测、历史和参考信息，</w:t>
      </w:r>
      <m:oMath>
        <m:r>
          <m:rPr>
            <m:scr m:val="script"/>
            <m:sty m:val="p"/>
          </m:rPr>
          <m:t>F</m:t>
        </m:r>
      </m:oMath>
      <w:r>
        <w:rPr>
          <w:rFonts w:hint="eastAsia"/>
        </w:rPr>
        <w:t xml:space="preserve">表示有界平滑执行，</w:t>
      </w:r>
      <m:oMath>
        <m:sSub>
          <m:e>
            <m:r>
              <m:rPr>
                <m:sty m:val="bi"/>
              </m:rPr>
              <m:t>τ</m:t>
            </m:r>
          </m:e>
          <m:sub>
            <m:r>
              <m:rPr>
                <m:sty m:val="p"/>
              </m:rPr>
              <m:t>n</m:t>
            </m:r>
            <m:r>
              <m:rPr>
                <m:sty m:val="p"/>
              </m:rPr>
              <m:t>o</m:t>
            </m:r>
            <m:r>
              <m:rPr>
                <m:sty m:val="p"/>
              </m:rPr>
              <m:t>m</m:t>
            </m:r>
            <m:r>
              <m:rPr>
                <m:sty m:val="p"/>
              </m:rPr>
              <m:t>,</m:t>
            </m:r>
            <m:r>
              <m:t>k</m:t>
            </m:r>
          </m:sub>
        </m:sSub>
      </m:oMath>
      <w:r>
        <w:rPr>
          <w:rFonts w:hint="eastAsia"/>
        </w:rPr>
        <w:t xml:space="preserve">为QP中的名义模型力矩。补偿针对驱动通道的模型与执行偏差，支撑及接触作用仍保留为物理外力。</w:t>
      </w:r>
    </w:p>
    <w:p>
      <w:pPr>
        <w:pStyle w:val="BodyText"/>
        <w:widowControl/>
        <w:ind w:firstLine="480"/>
        <w:jc w:val="both"/>
      </w:pPr>
      <w:r>
        <w:rPr>
          <w:rFonts w:hint="eastAsia"/>
        </w:rPr>
        <w:t xml:space="preserve">在耦合仿真中随机化惯性、摩擦、载荷与时序，以实测数据校核分布。根据阻抗误差、结构响应及补偿代价重构训练目标，替代原DDP特定轨迹的局部价值信息。保留双端点输出和平滑执行，以适应不同控制频率；真机采用冻结策略推理，批次之间更新策略。</w:t>
      </w:r>
    </w:p>
    <w:p>
      <w:pPr>
        <w:pStyle w:val="BodyText"/>
        <w:widowControl/>
        <w:ind w:firstLine="480"/>
        <w:jc w:val="both"/>
      </w:pPr>
      <w:r>
        <w:rPr>
          <w:rFonts w:hint="eastAsia"/>
        </w:rPr>
        <w:t xml:space="preserve">在名义闭环局部稳定、QP可行及估计误差有界的条件下，利用位姿误差与主导模态能量分析学习补偿对闭环响应的影响，研究误差最终有界的充分条件。对模态截断和执行时序偏差采用经实验校核的扰动界，通过约束激活与参数变化试验检查适用范围。</w:t>
      </w:r>
    </w:p>
    <w:bookmarkEnd w:id="49"/>
    <w:bookmarkStart w:id="50" w:name="接触场配准与参考修正驱动的阻抗对接"/>
    <w:p>
      <w:pPr>
        <w:pStyle w:val="Heading3"/>
        <w:widowControl/>
      </w:pPr>
      <w:r>
        <w:t xml:space="preserve">3.4　</w:t>
      </w:r>
      <w:r>
        <w:rPr>
          <w:rFonts w:hint="eastAsia"/>
        </w:rPr>
        <w:t xml:space="preserve">接触场配准与参考修正驱动的阻抗对接</w:t>
      </w:r>
    </w:p>
    <w:p>
      <w:pPr>
        <w:pStyle w:val="FirstParagraph"/>
        <w:widowControl/>
        <w:ind w:firstLine="480"/>
        <w:jc w:val="both"/>
      </w:pPr>
      <w:r>
        <w:rPr>
          <w:rFonts w:hint="eastAsia"/>
        </w:rPr>
        <w:t xml:space="preserve">将典型接口的接触位姿映射到统一的局部坐标，利用离线接触数据及物理方向信息构造接触场。方向信息作为场形状的软约束，以减轻接触采样不足的影响；在线阶段利用接触位姿相对于该场的残差估计目标：</w:t>
      </w:r>
    </w:p>
    <w:p>
      <w:pPr>
        <w:pStyle w:val="BodyText"/>
        <w:keepLines/>
        <w:widowControl/>
        <w:spacing w:line="240" w:lineRule="auto"/>
        <w:ind w:firstLine="0"/>
        <w:jc w:val="center"/>
      </w:pPr>
      <m:oMathPara>
        <m:oMathParaPr>
          <m:jc m:val="center"/>
        </m:oMathParaPr>
        <m:oMath>
          <m:sSub>
            <m:e>
              <m:acc>
                <m:accPr>
                  <m:chr m:val="̂"/>
                </m:accPr>
                <m:e>
                  <m:r>
                    <m:t>T</m:t>
                  </m:r>
                </m:e>
              </m:acc>
            </m:e>
            <m:sub>
              <m:r>
                <m:rPr>
                  <m:sty m:val="p"/>
                </m:rPr>
                <m:t>⋆</m:t>
              </m:r>
            </m:sub>
          </m:sSub>
          <m:r>
            <m:rPr>
              <m:sty m:val="p"/>
            </m:rPr>
            <m:t>=</m:t>
          </m:r>
          <m:limLow>
            <m:e>
              <m:r>
                <m:rPr>
                  <m:sty m:val="p"/>
                </m:rPr>
                <m:t>arg</m:t>
              </m:r>
              <m:r>
                <m:rPr>
                  <m:sty m:val="p"/>
                </m:rPr>
                <m:t>min</m:t>
              </m:r>
            </m:e>
            <m:lim>
              <m:r>
                <m:t>T</m:t>
              </m:r>
              <m:r>
                <m:rPr>
                  <m:sty m:val="p"/>
                </m:rPr>
                <m:t>∈</m:t>
              </m:r>
              <m:r>
                <m:rPr>
                  <m:scr m:val="script"/>
                  <m:sty m:val="p"/>
                </m:rPr>
                <m:t>U</m:t>
              </m:r>
              <m:r>
                <m:rPr>
                  <m:sty m:val="p"/>
                </m:rPr>
                <m:t>(</m:t>
              </m:r>
              <m:sSub>
                <m:e>
                  <m:r>
                    <m:t>T</m:t>
                  </m:r>
                </m:e>
                <m:sub>
                  <m:r>
                    <m:t>v</m:t>
                  </m:r>
                </m:sub>
              </m:sSub>
              <m:r>
                <m:rPr>
                  <m:sty m:val="p"/>
                </m:rPr>
                <m:t>)</m:t>
              </m:r>
            </m:lim>
          </m:limLow>
          <m:nary>
            <m:naryPr>
              <m:chr m:val="∑"/>
              <m:limLoc m:val="undOvr"/>
              <m:subHide m:val="off"/>
              <m:supHide m:val="on"/>
            </m:naryPr>
            <m:sub>
              <m:r>
                <m:t>i</m:t>
              </m:r>
            </m:sub>
            <m:sup>
              <m:r>
                <m:t>​</m:t>
              </m:r>
            </m:sup>
            <m:e>
              <m:r>
                <m:t>ρ</m:t>
              </m:r>
            </m:e>
          </m:nary>
          <m:r>
            <m:t>​</m:t>
          </m:r>
          <m:d>
            <m:dPr>
              <m:begChr m:val="("/>
              <m:sepChr m:val=""/>
              <m:endChr m:val=")"/>
              <m:grow/>
            </m:dPr>
            <m:e>
              <m:r>
                <m:t>F</m:t>
              </m:r>
              <m:r>
                <m:rPr>
                  <m:sty m:val="p"/>
                </m:rPr>
                <m:t>(</m:t>
              </m:r>
              <m:sSup>
                <m:e>
                  <m:r>
                    <m:t>T</m:t>
                  </m:r>
                </m:e>
                <m:sup>
                  <m:r>
                    <m:rPr>
                      <m:sty m:val="p"/>
                    </m:rPr>
                    <m:t>−</m:t>
                  </m:r>
                  <m:r>
                    <m:t>1</m:t>
                  </m:r>
                </m:sup>
              </m:sSup>
              <m:sSub>
                <m:e>
                  <m:r>
                    <m:t>T</m:t>
                  </m:r>
                </m:e>
                <m:sub>
                  <m:r>
                    <m:t>i</m:t>
                  </m:r>
                </m:sub>
              </m:sSub>
              <m:r>
                <m:rPr>
                  <m:sty m:val="p"/>
                </m:rPr>
                <m:t>)</m:t>
              </m:r>
            </m:e>
          </m:d>
          <m:r>
            <m:rPr>
              <m:sty m:val="p"/>
            </m:rPr>
            <m:t>.</m:t>
          </m:r>
          <m:r>
            <m:t>  </m:t>
          </m:r>
          <m:r>
            <m:rPr>
              <m:nor/>
              <m:sty m:val="p"/>
            </m:rPr>
            <m:t>(4)</m:t>
          </m:r>
        </m:oMath>
      </m:oMathPara>
    </w:p>
    <w:p>
      <w:pPr>
        <w:pStyle w:val="FirstParagraph"/>
        <w:widowControl/>
        <w:ind w:firstLine="480"/>
        <w:jc w:val="both"/>
      </w:pPr>
      <w:r>
        <w:rPr>
          <w:rFonts w:hint="eastAsia"/>
        </w:rPr>
        <w:t xml:space="preserve">其中，</w:t>
      </w:r>
      <m:oMath>
        <m:sSub>
          <m:e>
            <m:r>
              <m:t>T</m:t>
            </m:r>
          </m:e>
          <m:sub>
            <m:r>
              <m:t>i</m:t>
            </m:r>
          </m:sub>
        </m:sSub>
      </m:oMath>
      <w:r>
        <w:rPr>
          <w:rFonts w:hint="eastAsia"/>
        </w:rPr>
        <w:t xml:space="preserve">为统一参考系中的接触位姿，</w:t>
      </w:r>
      <m:oMath>
        <m:sSub>
          <m:e>
            <m:r>
              <m:t>T</m:t>
            </m:r>
          </m:e>
          <m:sub>
            <m:r>
              <m:t>v</m:t>
            </m:r>
          </m:sub>
        </m:sSub>
      </m:oMath>
      <w:r>
        <w:rPr>
          <w:rFonts w:hint="eastAsia"/>
        </w:rPr>
        <w:t xml:space="preserve">为目标先验，</w:t>
      </w:r>
      <m:oMath>
        <m:r>
          <m:rPr>
            <m:scr m:val="script"/>
            <m:sty m:val="p"/>
          </m:rPr>
          <m:t>U</m:t>
        </m:r>
        <m:r>
          <m:rPr>
            <m:sty m:val="p"/>
          </m:rPr>
          <m:t>(</m:t>
        </m:r>
        <m:sSub>
          <m:e>
            <m:r>
              <m:t>T</m:t>
            </m:r>
          </m:e>
          <m:sub>
            <m:r>
              <m:t>v</m:t>
            </m:r>
          </m:sub>
        </m:sSub>
        <m:r>
          <m:rPr>
            <m:sty m:val="p"/>
          </m:rPr>
          <m:t>)</m:t>
        </m:r>
      </m:oMath>
      <w:r>
        <w:rPr>
          <w:rFonts w:hint="eastAsia"/>
        </w:rPr>
        <w:t xml:space="preserve">为先验附近允许修正的局部位姿集合，</w:t>
      </w:r>
      <m:oMath>
        <m:r>
          <m:t>F</m:t>
        </m:r>
      </m:oMath>
      <w:r>
        <w:rPr>
          <w:rFonts w:hint="eastAsia"/>
        </w:rPr>
        <w:t xml:space="preserve">表示离线接触场定义的带符号残差，</w:t>
      </w:r>
      <m:oMath>
        <m:r>
          <m:t>ρ</m:t>
        </m:r>
      </m:oMath>
      <w:r>
        <w:rPr>
          <w:rFonts w:hint="eastAsia"/>
        </w:rPr>
        <w:t xml:space="preserve">为鲁棒损失。该式提炼目标配准关系，具体采用横向和姿态修正，轴向接近单独调节。接触位姿及目标参考按同一时刻的支撑运动统一坐标，避免将坐标变化误作目标偏差。</w:t>
      </w:r>
    </w:p>
    <w:p>
      <w:pPr>
        <w:pStyle w:val="BodyText"/>
        <w:widowControl/>
        <w:ind w:firstLine="480"/>
        <w:jc w:val="both"/>
      </w:pPr>
      <w:r>
        <w:rPr>
          <w:rFonts w:hint="eastAsia"/>
        </w:rPr>
        <w:t xml:space="preserve">以配准目标生成名义对接参考，以</w:t>
      </w:r>
      <m:oMath>
        <m:r>
          <m:rPr>
            <m:sty m:val="bi"/>
          </m:rPr>
          <m:t>c</m:t>
        </m:r>
      </m:oMath>
      <w:r>
        <w:rPr>
          <w:rFonts w:hint="eastAsia"/>
        </w:rPr>
        <w:t xml:space="preserve">表示局部横向和姿态修正量。将接触作用投影至这些修正方向，通过约束优化兼顾接触顺应与对配准目标的保持：</w:t>
      </w:r>
    </w:p>
    <w:p>
      <w:pPr>
        <w:pStyle w:val="BodyText"/>
        <w:keepLines/>
        <w:widowControl/>
        <w:spacing w:line="240" w:lineRule="auto"/>
        <w:ind w:firstLine="0"/>
        <w:jc w:val="center"/>
      </w:pPr>
      <m:oMathPara>
        <m:oMathParaPr>
          <m:jc m:val="center"/>
        </m:oMathParaPr>
        <m:oMath>
          <m:sSub>
            <m:e>
              <m:r>
                <m:rPr>
                  <m:sty m:val="bi"/>
                </m:rPr>
                <m:t>c</m:t>
              </m:r>
            </m:e>
            <m:sub>
              <m:r>
                <m:t>k</m:t>
              </m:r>
              <m:r>
                <m:rPr>
                  <m:sty m:val="p"/>
                </m:rPr>
                <m:t>+</m:t>
              </m:r>
              <m:r>
                <m:t>1</m:t>
              </m:r>
            </m:sub>
          </m:sSub>
          <m:r>
            <m:rPr>
              <m:sty m:val="p"/>
            </m:rPr>
            <m:t>=</m:t>
          </m:r>
          <m:limLow>
            <m:e>
              <m:r>
                <m:rPr>
                  <m:sty m:val="p"/>
                </m:rPr>
                <m:t>arg</m:t>
              </m:r>
              <m:r>
                <m:rPr>
                  <m:sty m:val="p"/>
                </m:rPr>
                <m:t>min</m:t>
              </m:r>
            </m:e>
            <m:lim>
              <m:r>
                <m:rPr>
                  <m:sty m:val="bi"/>
                </m:rPr>
                <m:t>c</m:t>
              </m:r>
              <m:r>
                <m:rPr>
                  <m:sty m:val="p"/>
                </m:rPr>
                <m:t>∈</m:t>
              </m:r>
              <m:sSub>
                <m:e>
                  <m:r>
                    <m:rPr>
                      <m:scr m:val="script"/>
                      <m:sty m:val="p"/>
                    </m:rPr>
                    <m:t>C</m:t>
                  </m:r>
                </m:e>
                <m:sub>
                  <m:r>
                    <m:t>k</m:t>
                  </m:r>
                </m:sub>
              </m:sSub>
            </m:lim>
          </m:limLow>
          <m:d>
            <m:dPr>
              <m:begChr m:val="{"/>
              <m:sepChr m:val=""/>
              <m:endChr m:val="}"/>
              <m:grow/>
            </m:dPr>
            <m:e>
              <m:f>
                <m:fPr>
                  <m:type m:val="bar"/>
                </m:fPr>
                <m:num>
                  <m:r>
                    <m:rPr>
                      <m:sty m:val="p"/>
                    </m:rPr>
                    <m:t>∥</m:t>
                  </m:r>
                  <m:r>
                    <m:rPr>
                      <m:sty m:val="bi"/>
                    </m:rPr>
                    <m:t>c</m:t>
                  </m:r>
                  <m:r>
                    <m:rPr>
                      <m:sty m:val="p"/>
                    </m:rPr>
                    <m:t>−</m:t>
                  </m:r>
                  <m:sSub>
                    <m:e>
                      <m:r>
                        <m:rPr>
                          <m:sty m:val="bi"/>
                        </m:rPr>
                        <m:t>c</m:t>
                      </m:r>
                    </m:e>
                    <m:sub>
                      <m:r>
                        <m:t>k</m:t>
                      </m:r>
                    </m:sub>
                  </m:sSub>
                  <m:sSubSup>
                    <m:e>
                      <m:r>
                        <m:rPr>
                          <m:sty m:val="p"/>
                        </m:rPr>
                        <m:t>∥</m:t>
                      </m:r>
                    </m:e>
                    <m:sub>
                      <m:sSub>
                        <m:e>
                          <m:r>
                            <m:rPr>
                              <m:sty m:val="bi"/>
                            </m:rPr>
                            <m:t>D</m:t>
                          </m:r>
                        </m:e>
                        <m:sub>
                          <m:r>
                            <m:t>c</m:t>
                          </m:r>
                        </m:sub>
                      </m:sSub>
                    </m:sub>
                    <m:sup>
                      <m:r>
                        <m:t>2</m:t>
                      </m:r>
                    </m:sup>
                  </m:sSubSup>
                </m:num>
                <m:den>
                  <m:r>
                    <m:t>2</m:t>
                  </m:r>
                  <m:r>
                    <m:rPr>
                      <m:sty m:val="p"/>
                    </m:rPr>
                    <m:t>Δ</m:t>
                  </m:r>
                  <m:r>
                    <m:t>t</m:t>
                  </m:r>
                </m:den>
              </m:f>
              <m:r>
                <m:rPr>
                  <m:sty m:val="p"/>
                </m:rPr>
                <m:t>+</m:t>
              </m:r>
              <m:f>
                <m:fPr>
                  <m:type m:val="bar"/>
                </m:fPr>
                <m:num>
                  <m:r>
                    <m:t>1</m:t>
                  </m:r>
                </m:num>
                <m:den>
                  <m:r>
                    <m:t>2</m:t>
                  </m:r>
                </m:den>
              </m:f>
              <m:sSup>
                <m:e>
                  <m:r>
                    <m:rPr>
                      <m:sty m:val="bi"/>
                    </m:rPr>
                    <m:t>c</m:t>
                  </m:r>
                </m:e>
                <m:sup>
                  <m:r>
                    <m:rPr>
                      <m:scr m:val="sans-serif"/>
                      <m:sty m:val="p"/>
                    </m:rPr>
                    <m:t>T</m:t>
                  </m:r>
                </m:sup>
              </m:sSup>
              <m:sSub>
                <m:e>
                  <m:r>
                    <m:rPr>
                      <m:sty m:val="bi"/>
                    </m:rPr>
                    <m:t>K</m:t>
                  </m:r>
                </m:e>
                <m:sub>
                  <m:r>
                    <m:t>c</m:t>
                  </m:r>
                </m:sub>
              </m:sSub>
              <m:r>
                <m:rPr>
                  <m:sty m:val="bi"/>
                </m:rPr>
                <m:t>c</m:t>
              </m:r>
              <m:r>
                <m:rPr>
                  <m:sty m:val="p"/>
                </m:rPr>
                <m:t>−</m:t>
              </m:r>
              <m:sSubSup>
                <m:e>
                  <m:r>
                    <m:rPr>
                      <m:sty m:val="bi"/>
                    </m:rPr>
                    <m:t>f</m:t>
                  </m:r>
                </m:e>
                <m:sub>
                  <m:r>
                    <m:t>c</m:t>
                  </m:r>
                  <m:r>
                    <m:rPr>
                      <m:sty m:val="p"/>
                    </m:rPr>
                    <m:t>,</m:t>
                  </m:r>
                  <m:r>
                    <m:t>k</m:t>
                  </m:r>
                </m:sub>
                <m:sup>
                  <m:r>
                    <m:rPr>
                      <m:scr m:val="sans-serif"/>
                      <m:sty m:val="p"/>
                    </m:rPr>
                    <m:t>T</m:t>
                  </m:r>
                </m:sup>
              </m:sSubSup>
              <m:r>
                <m:rPr>
                  <m:sty m:val="p"/>
                </m:rPr>
                <m:t>(</m:t>
              </m:r>
              <m:r>
                <m:rPr>
                  <m:sty m:val="bi"/>
                </m:rPr>
                <m:t>c</m:t>
              </m:r>
              <m:r>
                <m:rPr>
                  <m:sty m:val="p"/>
                </m:rPr>
                <m:t>−</m:t>
              </m:r>
              <m:sSub>
                <m:e>
                  <m:r>
                    <m:rPr>
                      <m:sty m:val="bi"/>
                    </m:rPr>
                    <m:t>c</m:t>
                  </m:r>
                </m:e>
                <m:sub>
                  <m:r>
                    <m:t>k</m:t>
                  </m:r>
                </m:sub>
              </m:sSub>
              <m:r>
                <m:rPr>
                  <m:sty m:val="p"/>
                </m:rPr>
                <m:t>)</m:t>
              </m:r>
            </m:e>
          </m:d>
          <m:r>
            <m:rPr>
              <m:sty m:val="p"/>
            </m:rPr>
            <m:t>.</m:t>
          </m:r>
          <m:r>
            <m:t>  </m:t>
          </m:r>
          <m:r>
            <m:rPr>
              <m:nor/>
              <m:sty m:val="p"/>
            </m:rPr>
            <m:t>(5)</m:t>
          </m:r>
        </m:oMath>
      </m:oMathPara>
    </w:p>
    <w:p>
      <w:pPr>
        <w:pStyle w:val="FirstParagraph"/>
        <w:widowControl/>
        <w:ind w:firstLine="480"/>
        <w:jc w:val="both"/>
      </w:pPr>
      <w:r>
        <w:rPr>
          <w:rFonts w:hint="eastAsia"/>
        </w:rPr>
        <w:t xml:space="preserve">其中，</w:t>
      </w:r>
      <m:oMath>
        <m:sSub>
          <m:e>
            <m:r>
              <m:rPr>
                <m:sty m:val="bi"/>
              </m:rPr>
              <m:t>f</m:t>
            </m:r>
          </m:e>
          <m:sub>
            <m:r>
              <m:t>c</m:t>
            </m:r>
            <m:r>
              <m:rPr>
                <m:sty m:val="p"/>
              </m:rPr>
              <m:t>,</m:t>
            </m:r>
            <m:r>
              <m:t>k</m:t>
            </m:r>
          </m:sub>
        </m:sSub>
      </m:oMath>
      <w:r>
        <w:rPr>
          <w:rFonts w:hint="eastAsia"/>
        </w:rPr>
        <w:t xml:space="preserve">为与修正坐标共轭的接触作用，</w:t>
      </w:r>
      <m:oMath>
        <m:sSub>
          <m:e>
            <m:r>
              <m:rPr>
                <m:sty m:val="bi"/>
              </m:rPr>
              <m:t>D</m:t>
            </m:r>
          </m:e>
          <m:sub>
            <m:r>
              <m:t>c</m:t>
            </m:r>
          </m:sub>
        </m:sSub>
      </m:oMath>
      <w:r>
        <w:rPr>
          <w:rFonts w:hint="eastAsia"/>
        </w:rPr>
        <w:t xml:space="preserve">为正定阻尼权重，</w:t>
      </w:r>
      <m:oMath>
        <m:sSub>
          <m:e>
            <m:r>
              <m:rPr>
                <m:sty m:val="bi"/>
              </m:rPr>
              <m:t>K</m:t>
            </m:r>
          </m:e>
          <m:sub>
            <m:r>
              <m:t>c</m:t>
            </m:r>
          </m:sub>
        </m:sSub>
      </m:oMath>
      <w:r>
        <w:rPr>
          <w:rFonts w:hint="eastAsia"/>
        </w:rPr>
        <w:t xml:space="preserve">依据配准敏感程度设置并正则化为正定的参考保持权重，</w:t>
      </w:r>
      <m:oMath>
        <m:sSub>
          <m:e>
            <m:r>
              <m:rPr>
                <m:scr m:val="script"/>
                <m:sty m:val="p"/>
              </m:rPr>
              <m:t>C</m:t>
            </m:r>
          </m:e>
          <m:sub>
            <m:r>
              <m:t>k</m:t>
            </m:r>
          </m:sub>
        </m:sSub>
      </m:oMath>
      <w:r>
        <w:rPr>
          <w:rFonts w:hint="eastAsia"/>
        </w:rPr>
        <w:t xml:space="preserve">限定累计偏移和单步变化。将修正量通过位姿映射生成新的</w:t>
      </w:r>
      <m:oMath>
        <m:sSub>
          <m:e>
            <m:r>
              <m:t>T</m:t>
            </m:r>
          </m:e>
          <m:sub>
            <m:r>
              <m:t>d</m:t>
            </m:r>
          </m:sub>
        </m:sSub>
      </m:oMath>
      <w:r>
        <w:rPr>
          <w:rFonts w:hint="eastAsia"/>
        </w:rPr>
        <w:t xml:space="preserve">，交由学习增强阻抗–QP执行。两处优化分别负责接触参考调整与关节力矩分配，保持功能和物理量定义清楚。</w:t>
      </w:r>
    </w:p>
    <w:p>
      <w:pPr>
        <w:pStyle w:val="BodyText"/>
        <w:widowControl/>
        <w:ind w:firstLine="480"/>
        <w:jc w:val="both"/>
      </w:pPr>
      <w:r>
        <w:rPr>
          <w:rFonts w:hint="eastAsia"/>
        </w:rPr>
        <w:t xml:space="preserve">分析局部接触参考更新的储能变化，进一步考察下层跟踪误差与支撑运动对载荷和对准的影响。参考子系统结论的整机适用性，以及有限转动和接触变化的影响，由耦合仿真与实验评价。</w:t>
      </w:r>
    </w:p>
    <w:bookmarkEnd w:id="50"/>
    <w:bookmarkStart w:id="51" w:name="地面实验与评价方法"/>
    <w:p>
      <w:pPr>
        <w:pStyle w:val="Heading3"/>
        <w:widowControl/>
      </w:pPr>
      <w:r>
        <w:t xml:space="preserve">3.5　</w:t>
      </w:r>
      <w:r>
        <w:rPr>
          <w:rFonts w:hint="eastAsia"/>
        </w:rPr>
        <w:t xml:space="preserve">地面实验与评价方法</w:t>
      </w:r>
    </w:p>
    <w:p>
      <w:pPr>
        <w:pStyle w:val="FirstParagraph"/>
        <w:widowControl/>
        <w:ind w:firstLine="480"/>
        <w:jc w:val="both"/>
      </w:pPr>
      <w:r>
        <w:rPr>
          <w:rFonts w:hint="eastAsia"/>
        </w:rPr>
        <w:t xml:space="preserve">依托Franka及现有测量系统，配置可调支撑、典型接口与接触测点。先以位姿保持和圆轨迹校核名义控制，再在3种支撑与2种载荷组合下对比名义控制和残差学习，评价位置及旋转测地误差、停驻结构响应与力矩变化。各工况使用相同参考、执行时间与驱动约束，至少进行5次配对重复，关键消融在代表性工况开展。</w:t>
      </w:r>
    </w:p>
    <w:p>
      <w:pPr>
        <w:pStyle w:val="BodyText"/>
        <w:widowControl/>
        <w:ind w:firstLine="480"/>
        <w:jc w:val="both"/>
      </w:pPr>
      <w:r>
        <w:rPr>
          <w:rFonts w:hint="eastAsia"/>
        </w:rPr>
        <w:t xml:space="preserve">在典型接口及不同初始偏差下，对比固定参考、配准后固定参考及配准结合接触修正，并检验学习补偿的贡献。记录目标估计误差、接触峰值和真实到位误差。初始偏差与装配容差依据接口及预实验确定，在正式评价前固定；调参和模型校核数据不计入独立验证。</w:t>
      </w:r>
    </w:p>
    <w:p>
      <w:pPr>
        <w:pStyle w:val="BodyText"/>
        <w:widowControl/>
        <w:ind w:firstLine="480"/>
        <w:jc w:val="both"/>
      </w:pPr>
      <w:r>
        <w:rPr>
          <w:rFonts w:hint="eastAsia"/>
        </w:rPr>
        <w:t xml:space="preserve">采用固定连接关系和可重复支撑条件，使实验集中于运动控制、失配补偿与接触对接之间的联系。地面重力、支撑附加阻尼和目标安装方式单独标定；若目标与机器人安装在同一柔性结构上，则在模型和测量中计入目标端的接触反作用。</w:t>
      </w:r>
    </w:p>
    <w:bookmarkEnd w:id="51"/>
    <w:bookmarkStart w:id="55" w:name="可行性分析"/>
    <w:p>
      <w:pPr>
        <w:pStyle w:val="Heading3"/>
        <w:widowControl/>
      </w:pPr>
      <w:r>
        <w:t xml:space="preserve">3.6　</w:t>
      </w:r>
      <w:r>
        <w:rPr>
          <w:rFonts w:hint="eastAsia"/>
        </w:rPr>
        <w:t xml:space="preserve">可行性分析</w:t>
      </w:r>
    </w:p>
    <w:bookmarkStart w:id="52" w:name="控制方法与实验接口具备直接基础"/>
    <w:p>
      <w:pPr>
        <w:pStyle w:val="Heading4"/>
        <w:widowControl/>
      </w:pPr>
      <w:r>
        <w:rPr>
          <w:rFonts w:hint="eastAsia"/>
        </w:rPr>
        <w:t xml:space="preserve">（1）控制方法与实验接口具备直接基础</w:t>
      </w:r>
    </w:p>
    <w:p>
      <w:pPr>
        <w:pStyle w:val="FirstParagraph"/>
        <w:widowControl/>
        <w:ind w:firstLine="480"/>
        <w:jc w:val="both"/>
      </w:pPr>
      <w:r>
        <w:rPr>
          <w:rFonts w:hint="eastAsia"/>
        </w:rPr>
        <w:t xml:space="preserve">现有位姿保持与圆轨迹实验具备倒置模型、几何阻抗及QP控制链；Panda残差学习实验提供模型引导训练与分频部署经验。先校核几何微分和坐标映射，再扩展柔性支撑及学习目标，具备分步实施基础。</w:t>
      </w:r>
    </w:p>
    <w:bookmarkEnd w:id="52"/>
    <w:bookmarkStart w:id="53" w:name="接触研究与地面条件能够支撑方法衔接"/>
    <w:p>
      <w:pPr>
        <w:pStyle w:val="Heading4"/>
        <w:widowControl/>
      </w:pPr>
      <w:r>
        <w:rPr>
          <w:rFonts w:hint="eastAsia"/>
        </w:rPr>
        <w:t xml:space="preserve">（2）接触研究与地面条件能够支撑方法衔接</w:t>
      </w:r>
    </w:p>
    <w:p>
      <w:pPr>
        <w:pStyle w:val="FirstParagraph"/>
        <w:widowControl/>
        <w:ind w:firstLine="480"/>
        <w:jc w:val="both"/>
      </w:pPr>
      <w:r>
        <w:rPr>
          <w:rFonts w:hint="eastAsia"/>
        </w:rPr>
        <w:t xml:space="preserve">接触研究已形成配准与锚定捕获方法，具有仿真和真机配准回放基础。新方法真机捕获及其与力矩控制的融合拟由固定支撑逐步过渡至柔性支撑验证。团队已有柔性多体建模及模块对接条件，新增需求主要为可调支撑、接触测点和系统集成。</w:t>
      </w:r>
    </w:p>
    <w:bookmarkEnd w:id="53"/>
    <w:bookmarkStart w:id="54" w:name="研究范围与实施难点相匹配"/>
    <w:p>
      <w:pPr>
        <w:pStyle w:val="Heading4"/>
        <w:widowControl/>
      </w:pPr>
      <w:r>
        <w:rPr>
          <w:rFonts w:hint="eastAsia"/>
        </w:rPr>
        <w:t xml:space="preserve">（3）研究范围与实施难点相匹配</w:t>
      </w:r>
    </w:p>
    <w:p>
      <w:pPr>
        <w:pStyle w:val="FirstParagraph"/>
        <w:widowControl/>
        <w:ind w:firstLine="480"/>
        <w:jc w:val="both"/>
      </w:pPr>
      <w:r>
        <w:rPr>
          <w:rFonts w:hint="eastAsia"/>
        </w:rPr>
        <w:t xml:space="preserve">研究限定于单机器人、预定支撑范围与典型接口。通过实测校核改善策略迁移，依据结构频段调节补偿，利用先验与修正边界应对接触信息不足。各环节分别验证后再集成，使建模、训练和试验工作与两年开放课题条件相适应。</w:t>
      </w:r>
    </w:p>
    <w:bookmarkEnd w:id="54"/>
    <w:bookmarkEnd w:id="55"/>
    <w:bookmarkEnd w:id="56"/>
    <w:bookmarkStart w:id="60" w:name="本项目的特色与创新之处"/>
    <w:p>
      <w:pPr>
        <w:pStyle w:val="Heading2"/>
        <w:widowControl/>
      </w:pPr>
      <w:r>
        <w:t xml:space="preserve">4. </w:t>
      </w:r>
      <w:r>
        <w:rPr>
          <w:rFonts w:hint="eastAsia"/>
        </w:rPr>
        <w:t xml:space="preserve">本项目的特色与创新之处</w:t>
      </w:r>
    </w:p>
    <w:bookmarkStart w:id="57" w:name="面向柔性安装界面建立动力学一致的阻抗控制方法"/>
    <w:p>
      <w:pPr>
        <w:pStyle w:val="Heading4"/>
        <w:widowControl/>
      </w:pPr>
      <w:r>
        <w:rPr>
          <w:rFonts w:hint="eastAsia"/>
        </w:rPr>
        <w:t xml:space="preserve">（1）面向柔性安装界面建立动力学一致的阻抗控制方法</w:t>
      </w:r>
    </w:p>
    <w:p>
      <w:pPr>
        <w:pStyle w:val="FirstParagraph"/>
        <w:widowControl/>
        <w:ind w:firstLine="480"/>
        <w:jc w:val="both"/>
      </w:pPr>
      <w:r>
        <w:rPr>
          <w:rFonts w:hint="eastAsia"/>
        </w:rPr>
        <w:t xml:space="preserve">在已有倒置建模基础上，将作业端位姿、安装界面动态载荷及主导柔性模态关联起来，以同一动力学约束协调阻抗运动要求和结构响应。拟阐明支撑作用与内部失配的不同传递途径，形成适用于柔性支撑机器人的控制表征和约束分配方法。</w:t>
      </w:r>
    </w:p>
    <w:bookmarkEnd w:id="57"/>
    <w:bookmarkStart w:id="58" w:name="形成兼顾阻抗响应与结构振动的模型引导残差学习方法"/>
    <w:p>
      <w:pPr>
        <w:pStyle w:val="Heading4"/>
        <w:widowControl/>
      </w:pPr>
      <w:r>
        <w:rPr>
          <w:rFonts w:hint="eastAsia"/>
        </w:rPr>
        <w:t xml:space="preserve">（2）形成兼顾阻抗响应与结构振动的模型引导残差学习方法</w:t>
      </w:r>
    </w:p>
    <w:p>
      <w:pPr>
        <w:pStyle w:val="FirstParagraph"/>
        <w:widowControl/>
        <w:ind w:firstLine="480"/>
        <w:jc w:val="both"/>
      </w:pPr>
      <w:r>
        <w:rPr>
          <w:rFonts w:hint="eastAsia"/>
        </w:rPr>
        <w:t xml:space="preserve">将已有DDP引导残差学习拓展至随状态和约束变化的阻抗–QP系统，利用物理响应和任务误差组织学习，将有界残差纳入统一力矩预算，并结合双端点执行研究不同更新频率下的振动激励。拟建立学习补偿与名义阻抗的相容条件，使模型误差补偿同时服务于末端精度和结构响应改善。</w:t>
      </w:r>
    </w:p>
    <w:bookmarkEnd w:id="58"/>
    <w:bookmarkStart w:id="59" w:name="接触几何与实际阻抗响应协调的柔性支撑对接"/>
    <w:p>
      <w:pPr>
        <w:pStyle w:val="Heading4"/>
        <w:widowControl/>
      </w:pPr>
      <w:r>
        <w:rPr>
          <w:rFonts w:hint="eastAsia"/>
        </w:rPr>
        <w:t xml:space="preserve">（3）接触几何与实际阻抗响应协调的柔性支撑对接</w:t>
      </w:r>
    </w:p>
    <w:p>
      <w:pPr>
        <w:pStyle w:val="FirstParagraph"/>
        <w:widowControl/>
        <w:ind w:firstLine="480"/>
        <w:jc w:val="both"/>
      </w:pPr>
      <w:r>
        <w:rPr>
          <w:rFonts w:hint="eastAsia"/>
        </w:rPr>
        <w:t xml:space="preserve">在接触场配准与有界参考修正基础上，研究柔性支撑运动及下层执行偏差对接触对准的影响，将几何估计、接触反馈与学习增强力矩控制相联系，形成兼顾目标对准与柔顺接触的典型接口对接方法。</w:t>
      </w:r>
    </w:p>
    <w:bookmarkEnd w:id="59"/>
    <w:bookmarkEnd w:id="60"/>
    <w:bookmarkStart w:id="67" w:name="年度研究计划及预期研究成果"/>
    <w:p>
      <w:pPr>
        <w:pStyle w:val="Heading2"/>
        <w:widowControl/>
      </w:pPr>
      <w:r>
        <w:t xml:space="preserve">5. </w:t>
      </w:r>
      <w:r>
        <w:rPr>
          <w:rFonts w:hint="eastAsia"/>
        </w:rPr>
        <w:t xml:space="preserve">年度研究计划及预期研究成果</w:t>
      </w:r>
    </w:p>
    <w:bookmarkStart w:id="65" w:name="年度研究计划"/>
    <w:p>
      <w:pPr>
        <w:pStyle w:val="Heading3"/>
        <w:widowControl/>
      </w:pPr>
      <w:r>
        <w:t xml:space="preserve">5.1　</w:t>
      </w:r>
      <w:r>
        <w:rPr>
          <w:rFonts w:hint="eastAsia"/>
        </w:rPr>
        <w:t xml:space="preserve">年度研究计划</w:t>
      </w:r>
    </w:p>
    <w:bookmarkStart w:id="61" w:name="年1月至6月"/>
    <w:p>
      <w:pPr>
        <w:pStyle w:val="Heading4"/>
        <w:widowControl/>
      </w:pPr>
      <w:r>
        <w:rPr>
          <w:rFonts w:hint="eastAsia"/>
        </w:rPr>
        <w:t xml:space="preserve">2027年1月至6月</w:t>
      </w:r>
    </w:p>
    <w:p>
      <w:pPr>
        <w:pStyle w:val="FirstParagraph"/>
        <w:widowControl/>
        <w:ind w:firstLine="480"/>
        <w:jc w:val="both"/>
      </w:pPr>
      <w:r>
        <w:rPr>
          <w:rFonts w:hint="eastAsia"/>
        </w:rPr>
        <w:t xml:space="preserve">确定支撑与载荷工况，完成柔性试件设计和模态标定；建立倒置模型、安装界面及主导模态的耦合关系，复核现有控制和残差接口。阶段成果为耦合模型、标定数据及基线实验方案。</w:t>
      </w:r>
    </w:p>
    <w:bookmarkEnd w:id="61"/>
    <w:bookmarkStart w:id="62" w:name="年7月至12月"/>
    <w:p>
      <w:pPr>
        <w:pStyle w:val="Heading4"/>
        <w:widowControl/>
      </w:pPr>
      <w:r>
        <w:rPr>
          <w:rFonts w:hint="eastAsia"/>
        </w:rPr>
        <w:t xml:space="preserve">2027年7月至12月</w:t>
      </w:r>
    </w:p>
    <w:p>
      <w:pPr>
        <w:pStyle w:val="FirstParagraph"/>
        <w:widowControl/>
        <w:ind w:firstLine="480"/>
        <w:jc w:val="both"/>
      </w:pPr>
      <w:r>
        <w:rPr>
          <w:rFonts w:hint="eastAsia"/>
        </w:rPr>
        <w:t xml:space="preserve">完成受约束阻抗控制及初步闭环分析，建立包含结构响应的残差训练环境；研究状态、奖励及辅助监督设计，完成固定基座与安装端运动条件下的对照。形成论文初稿1篇、年度进展报告，并与重点实验室开展专题交流。</w:t>
      </w:r>
    </w:p>
    <w:bookmarkEnd w:id="62"/>
    <w:bookmarkStart w:id="63" w:name="年1月至6月-1"/>
    <w:p>
      <w:pPr>
        <w:pStyle w:val="Heading4"/>
        <w:widowControl/>
      </w:pPr>
      <w:r>
        <w:rPr>
          <w:rFonts w:hint="eastAsia"/>
        </w:rPr>
        <w:t xml:space="preserve">2028年1月至6月</w:t>
      </w:r>
    </w:p>
    <w:p>
      <w:pPr>
        <w:pStyle w:val="FirstParagraph"/>
        <w:widowControl/>
        <w:ind w:firstLine="480"/>
        <w:jc w:val="both"/>
      </w:pPr>
      <w:r>
        <w:rPr>
          <w:rFonts w:hint="eastAsia"/>
        </w:rPr>
        <w:t xml:space="preserve">完成残差策略与动力学QP融合，开展柔性支撑运动实验及局部闭环分析；建立接触场配准与有界参考修正方法，完成固定支撑下的对接控制集成，形成方法论文和发明专利申请材料。</w:t>
      </w:r>
    </w:p>
    <w:bookmarkEnd w:id="63"/>
    <w:bookmarkStart w:id="64" w:name="年7月至12月-1"/>
    <w:p>
      <w:pPr>
        <w:pStyle w:val="Heading4"/>
        <w:widowControl/>
      </w:pPr>
      <w:r>
        <w:rPr>
          <w:rFonts w:hint="eastAsia"/>
        </w:rPr>
        <w:t xml:space="preserve">2028年7月至12月</w:t>
      </w:r>
    </w:p>
    <w:p>
      <w:pPr>
        <w:pStyle w:val="FirstParagraph"/>
        <w:widowControl/>
        <w:ind w:firstLine="480"/>
        <w:jc w:val="both"/>
      </w:pPr>
      <w:r>
        <w:rPr>
          <w:rFonts w:hint="eastAsia"/>
        </w:rPr>
        <w:t xml:space="preserve">完成支撑与载荷组合下的运动对照及柔性支撑下的典型接口对接实验，明确方法适用范围；整理程序、数据及测试报告，完成论文发表或录用、专利申请和结题材料，与重点实验室开展成果交流。</w:t>
      </w:r>
    </w:p>
    <w:bookmarkEnd w:id="64"/>
    <w:bookmarkEnd w:id="65"/>
    <w:bookmarkStart w:id="66" w:name="预期研究成果与学术交流"/>
    <w:p>
      <w:pPr>
        <w:pStyle w:val="Heading3"/>
        <w:widowControl/>
      </w:pPr>
      <w:r>
        <w:t xml:space="preserve">5.2　</w:t>
      </w:r>
      <w:r>
        <w:rPr>
          <w:rFonts w:hint="eastAsia"/>
        </w:rPr>
        <w:t xml:space="preserve">预期研究成果与学术交流</w:t>
      </w:r>
    </w:p>
    <w:p>
      <w:pPr>
        <w:pStyle w:val="FirstParagraph"/>
        <w:widowControl/>
        <w:ind w:firstLine="480"/>
        <w:jc w:val="both"/>
      </w:pPr>
      <w:r>
        <w:rPr>
          <w:rFonts w:hint="eastAsia"/>
        </w:rPr>
        <w:t xml:space="preserve">形成柔性支撑机器人耦合动力学与阻抗–QP程序1套，模型引导残差学习控制算法1套，配套接触场配准与阻抗对接模块、多工况实验数据及使用说明；完成柔性支撑运动与典型接口对接地面原理验证，提交技术总结报告和实验测试报告各1份。围绕新增研究发表或录用学术论文2篇，申请发明专利1项，培养参与研究的研究生2名。</w:t>
      </w:r>
    </w:p>
    <w:p>
      <w:pPr>
        <w:pStyle w:val="BodyText"/>
        <w:widowControl/>
        <w:ind w:firstLine="480"/>
        <w:jc w:val="both"/>
      </w:pPr>
      <w:r>
        <w:rPr>
          <w:rFonts w:hint="eastAsia"/>
        </w:rPr>
        <w:t xml:space="preserve">每年至少与重点实验室研究人员开展1次实质性学术交流，结合模型、实验和阶段成果组织研讨与学术报告；拟参加1次相关国内学术会议，并利用线上形式开展国际学术讨论。项目成果署名、资助标注和知识产权安排按重点实验室开放课题管理要求执行。</w:t>
      </w:r>
    </w:p>
    <w:bookmarkEnd w:id="66"/>
    <w:bookmarkEnd w:id="67"/>
    <w:bookmarkEnd w:id="68"/>
    <w:bookmarkStart w:id="83" w:name="二研究基础与工作条件"/>
    <w:p>
      <w:pPr>
        <w:pStyle w:val="Heading1"/>
        <w:widowControl/>
      </w:pPr>
      <w:r>
        <w:rPr>
          <w:rFonts w:hint="eastAsia"/>
        </w:rPr>
        <w:t xml:space="preserve">二、研究基础与工作条件</w:t>
      </w:r>
    </w:p>
    <w:bookmarkStart w:id="73" w:name="工作基础"/>
    <w:p>
      <w:pPr>
        <w:pStyle w:val="Heading2"/>
        <w:widowControl/>
      </w:pPr>
      <w:r>
        <w:t xml:space="preserve">1. </w:t>
      </w:r>
      <w:r>
        <w:rPr>
          <w:rFonts w:hint="eastAsia"/>
        </w:rPr>
        <w:t xml:space="preserve">工作基础</w:t>
      </w:r>
    </w:p>
    <w:p>
      <w:pPr>
        <w:pStyle w:val="FirstParagraph"/>
        <w:widowControl/>
        <w:ind w:firstLine="480"/>
        <w:jc w:val="both"/>
      </w:pPr>
      <w:r>
        <w:rPr>
          <w:rFonts w:hint="eastAsia"/>
        </w:rPr>
        <w:t xml:space="preserve">申请人所在团队长期从事空间在轨操作动力学与控制研究，在柔性多体建模、Franka机械臂运控、残差学习和模块对接方面形成了连续积累。与本项目直接相关的基础如下。</w:t>
      </w:r>
    </w:p>
    <w:bookmarkStart w:id="69" w:name="柔性多体动力学与地面模拟基础"/>
    <w:p>
      <w:pPr>
        <w:pStyle w:val="Heading4"/>
        <w:widowControl/>
      </w:pPr>
      <w:r>
        <w:rPr>
          <w:rFonts w:hint="eastAsia"/>
        </w:rPr>
        <w:t xml:space="preserve">（1）柔性多体动力学与地面模拟基础</w:t>
      </w:r>
    </w:p>
    <w:p>
      <w:pPr>
        <w:pStyle w:val="FirstParagraph"/>
        <w:widowControl/>
        <w:ind w:firstLine="480"/>
        <w:jc w:val="both"/>
      </w:pPr>
      <w:r>
        <w:rPr>
          <w:rFonts w:hint="eastAsia"/>
        </w:rPr>
        <w:t xml:space="preserve">申请人参与了柔性多体系统模态缩减研究，相关成果发表于</w:t>
      </w:r>
      <w:r>
        <w:rPr>
          <w:i/>
          <w:iCs/>
        </w:rPr>
        <w:t xml:space="preserve">Multibody System Dynamics</w:t>
      </w:r>
      <w:r>
        <w:rPr>
          <w:rFonts w:hint="eastAsia"/>
        </w:rPr>
        <w:t xml:space="preserve">[4]；团队进一步开展空间多柔体系统缩比等效建模，研究相似关系及参数灵敏度对缩比模型设计的影响[13]。现有约</w:t>
      </w:r>
      <m:oMath>
        <m:r>
          <m:t>4</m:t>
        </m:r>
        <m:r>
          <m:t> </m:t>
        </m:r>
        <m:r>
          <m:rPr>
            <m:sty m:val="p"/>
          </m:rPr>
          <m:t>m</m:t>
        </m:r>
        <m:r>
          <m:rPr>
            <m:sty m:val="p"/>
          </m:rPr>
          <m:t>×</m:t>
        </m:r>
        <m:r>
          <m:t>10</m:t>
        </m:r>
        <m:r>
          <m:t> </m:t>
        </m:r>
        <m:r>
          <m:rPr>
            <m:sty m:val="p"/>
          </m:rPr>
          <m:t>m</m:t>
        </m:r>
      </m:oMath>
      <w:r>
        <w:rPr>
          <w:rFonts w:hint="eastAsia"/>
        </w:rPr>
        <w:t xml:space="preserve">的在轨操作微重力模拟地面平台，以及已开展的多模块对接力控制实验[12]，为本项目的模型校核、支撑试验和数据评价提供了基础。</w:t>
      </w:r>
      <w:r>
        <w:t>团队已开展的几何精确梁动力学降阶研究，也为柔性支撑主导模态选取与模型简化提供了依据。</w:t>
      </w:r>
    </w:p>
    <w:bookmarkEnd w:id="69"/>
    <w:bookmarkStart w:id="70" w:name="倒置动力学几何阻抗与qp控制实现"/>
    <w:p>
      <w:pPr>
        <w:pStyle w:val="Heading4"/>
        <w:widowControl/>
      </w:pPr>
      <w:r>
        <w:rPr>
          <w:rFonts w:hint="eastAsia"/>
        </w:rPr>
        <w:t xml:space="preserve">（2）倒置动力学、几何阻抗与QP控制实现</w:t>
      </w:r>
    </w:p>
    <w:p>
      <w:pPr>
        <w:pStyle w:val="FirstParagraph"/>
        <w:widowControl/>
        <w:ind w:firstLine="480"/>
        <w:jc w:val="both"/>
      </w:pPr>
      <w:r>
        <w:rPr>
          <w:rFonts w:hint="eastAsia"/>
        </w:rPr>
        <w:t xml:space="preserve">团队已围绕七自由度Franka</w:t>
      </w:r>
      <w:r>
        <w:t xml:space="preserve"> </w:t>
      </w:r>
      <w:r>
        <w:rPr>
          <w:rFonts w:hint="eastAsia"/>
        </w:rPr>
        <w:t xml:space="preserve">FR3开展运动控制系统建设，形成以作业端侧link7为浮动根、沿关节链反向组织连杆的动力学实现。模型包含六维根运动和七维关节运动，实际安装端link0的支撑作用通过广义力进入动力学。现有程序结合动捕、IMU和关节测量形成状态输入，以</w:t>
      </w:r>
      <m:oMath>
        <m:r>
          <m:rPr>
            <m:sty m:val="p"/>
          </m:rPr>
          <m:t>S</m:t>
        </m:r>
        <m:r>
          <m:rPr>
            <m:sty m:val="p"/>
          </m:rPr>
          <m:t>E</m:t>
        </m:r>
        <m:r>
          <m:rPr>
            <m:sty m:val="p"/>
          </m:rPr>
          <m:t>(</m:t>
        </m:r>
        <m:r>
          <m:t>3</m:t>
        </m:r>
        <m:r>
          <m:rPr>
            <m:sty m:val="p"/>
          </m:rPr>
          <m:t>)</m:t>
        </m:r>
      </m:oMath>
      <w:r>
        <w:rPr>
          <w:rFonts w:hint="eastAsia"/>
        </w:rPr>
        <w:t xml:space="preserve">阻抗生成六维参考加速度，通过动力学QP求取关节加速度与力矩，并设置关节、力矩及其变化边界。</w:t>
      </w:r>
    </w:p>
    <w:p>
      <w:pPr>
        <w:pStyle w:val="BodyText"/>
        <w:widowControl/>
        <w:ind w:firstLine="480"/>
        <w:jc w:val="both"/>
      </w:pPr>
      <w:r>
        <w:rPr>
          <w:rFonts w:hint="eastAsia"/>
        </w:rPr>
        <w:t xml:space="preserve">系统已具备位姿保持、圆轨迹和固定基座轨迹实验入口，以及记录、回放和接口校核流程。支撑基线目前采用静态载荷近似。动态支撑描述与柔性工况的闭环验证将由本项目继续开展。</w:t>
      </w:r>
    </w:p>
    <w:bookmarkEnd w:id="70"/>
    <w:bookmarkStart w:id="71" w:name="ddp引导残差强化学习与真机验证"/>
    <w:p>
      <w:pPr>
        <w:pStyle w:val="Heading4"/>
        <w:widowControl/>
      </w:pPr>
      <w:r>
        <w:rPr>
          <w:rFonts w:hint="eastAsia"/>
        </w:rPr>
        <w:t xml:space="preserve">（3）DDP引导残差强化学习与真机验证</w:t>
      </w:r>
    </w:p>
    <w:p>
      <w:pPr>
        <w:pStyle w:val="FirstParagraph"/>
        <w:widowControl/>
        <w:ind w:firstLine="480"/>
        <w:jc w:val="both"/>
      </w:pPr>
      <w:r>
        <w:rPr>
          <w:rFonts w:hint="eastAsia"/>
        </w:rPr>
        <w:t xml:space="preserve">团队近期完成了DDP引导的力矩残差强化学习研究，相关稿件已提交IEEE</w:t>
      </w:r>
      <w:r>
        <w:t xml:space="preserve"> Robotics and Automation </w:t>
      </w:r>
      <w:r>
        <w:rPr>
          <w:rFonts w:hint="eastAsia"/>
        </w:rPr>
        <w:t xml:space="preserve">Letters。方法保留名义前馈与反馈，用DDP轨迹和局部价值信息引导学习，通过当前状态、历史及预览编码生成有界残差，结合逆动力学辅助监督和动作一致性训练，以双端点输出连接100</w:t>
      </w:r>
      <w:r>
        <w:t xml:space="preserve"> </w:t>
      </w:r>
      <w:r>
        <w:rPr>
          <w:rFonts w:hint="eastAsia"/>
        </w:rPr>
        <w:t xml:space="preserve">Hz策略与1</w:t>
      </w:r>
      <w:r>
        <w:t xml:space="preserve"> </w:t>
      </w:r>
      <w:r>
        <w:rPr>
          <w:rFonts w:hint="eastAsia"/>
        </w:rPr>
        <w:t xml:space="preserve">kHz力矩控制。</w:t>
      </w:r>
    </w:p>
    <w:p>
      <w:pPr>
        <w:pStyle w:val="BodyText"/>
        <w:widowControl/>
        <w:ind w:firstLine="480"/>
        <w:jc w:val="both"/>
      </w:pPr>
      <w:r>
        <w:rPr>
          <w:rFonts w:hint="eastAsia"/>
        </w:rPr>
        <w:t xml:space="preserve">稿件已报告Panda在训练轨迹、未参与训练轨迹及未建模负载条件下的实验。表1摘录未参与训练轨迹集合的结果。末端指标沿用稿件的平均误差，关节指标为均方根误差，与本项目的末端均方根考核分别评价。</w:t>
      </w:r>
    </w:p>
    <w:p>
      <w:pPr>
        <w:pStyle w:val="TableCaption"/>
        <w:widowControl/>
        <w:ind w:firstLine="0"/>
        <w:jc w:val="center"/>
      </w:pPr>
      <w:r>
        <w:rPr>
          <w:rFonts w:hint="eastAsia"/>
          <w:i w:val="0"/>
        </w:rPr>
        <w:t xml:space="preserve">表1</w:t>
      </w:r>
      <w:r>
        <w:rPr>
          <w:i w:val="0"/>
        </w:rPr>
        <w:t xml:space="preserve">　</w:t>
      </w:r>
      <w:r>
        <w:rPr>
          <w:rFonts w:hint="eastAsia"/>
          <w:i w:val="0"/>
        </w:rPr>
        <w:t xml:space="preserve">已有Panda实验结果：未参与训练的轨迹集合</w:t>
      </w:r>
    </w:p>
    <w:tbl>
      <w:tblPr>
        <w:tblStyle w:val="Table"/>
        <w:tblW w:type="auto" w:w="0"/>
        <w:jc w:val="center"/>
        <w:tblLayout w:type="fixed"/>
        <w:tblLook w:firstRow="1" w:lastRow="0" w:firstColumn="0" w:lastColumn="0" w:noHBand="0" w:noVBand="0" w:val="0020"/>
        <w:tblCaption w:val="表1　已有Panda实验结果：未参与训练的轨迹集合"/>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154"/>
        <w:gridCol w:w="1814"/>
        <w:gridCol w:w="2608"/>
      </w:tblGrid>
      <w:tr>
        <w:trPr>
          <w:tblHeader w:val="on"/>
          <w:tblHeader/>
          <w:cantSplit/>
        </w:trPr>
        <w:tc>
          <w:tcPr>
            <w:tcW w:type="dxa" w:w="2381"/>
            <w:vAlign w:val="center"/>
            <w:shd w:fill="F2F2F2"/>
          </w:tcPr>
          <w:p>
            <w:pPr>
              <w:pStyle w:val="Compact"/>
              <w:spacing w:line="300" w:lineRule="exact" w:before="80" w:after="80"/>
              <w:ind w:firstLine="0"/>
              <w:jc w:val="left"/>
            </w:pPr>
            <w:r>
              <w:rPr>
                <w:rFonts w:hint="eastAsia"/>
                <w:b/>
                <w:sz w:val="20"/>
              </w:rPr>
              <w:t xml:space="preserve">方法</w:t>
            </w:r>
          </w:p>
        </w:tc>
        <w:tc>
          <w:tcPr>
            <w:tcW w:type="dxa" w:w="2154"/>
            <w:vAlign w:val="center"/>
            <w:shd w:fill="F2F2F2"/>
          </w:tcPr>
          <w:p>
            <w:pPr>
              <w:pStyle w:val="Compact"/>
              <w:spacing w:line="300" w:lineRule="exact" w:before="80" w:after="80"/>
              <w:ind w:firstLine="0"/>
              <w:jc w:val="center"/>
            </w:pPr>
            <w:r>
              <w:rPr>
                <w:rFonts w:hint="eastAsia"/>
                <w:b/>
                <w:sz w:val="20"/>
              </w:rPr>
              <w:t xml:space="preserve">末端平均位置误差/mm</w:t>
            </w:r>
          </w:p>
        </w:tc>
        <w:tc>
          <w:tcPr>
            <w:tcW w:type="dxa" w:w="1814"/>
            <w:vAlign w:val="center"/>
            <w:shd w:fill="F2F2F2"/>
          </w:tcPr>
          <w:p>
            <w:pPr>
              <w:pStyle w:val="Compact"/>
              <w:spacing w:line="300" w:lineRule="exact" w:before="80" w:after="80"/>
              <w:ind w:firstLine="0"/>
              <w:jc w:val="center"/>
            </w:pPr>
            <w:r>
              <w:rPr>
                <w:rFonts w:hint="eastAsia"/>
                <w:b/>
                <w:sz w:val="20"/>
              </w:rPr>
              <w:t xml:space="preserve">平均姿态误差/(°)</w:t>
            </w:r>
          </w:p>
        </w:tc>
        <w:tc>
          <w:tcPr>
            <w:tcW w:type="dxa" w:w="2608"/>
            <w:vAlign w:val="center"/>
            <w:shd w:fill="F2F2F2"/>
          </w:tcPr>
          <w:p>
            <w:pPr>
              <w:pStyle w:val="Compact"/>
              <w:spacing w:line="300" w:lineRule="exact" w:before="80" w:after="80"/>
              <w:ind w:firstLine="0"/>
              <w:jc w:val="center"/>
            </w:pPr>
            <w:r>
              <w:rPr>
                <w:rFonts w:hint="eastAsia"/>
                <w:b/>
                <w:sz w:val="20"/>
              </w:rPr>
              <w:t xml:space="preserve">关节位置RMS/(°)</w:t>
            </w:r>
          </w:p>
        </w:tc>
      </w:tr>
      <w:tr>
        <w:trPr>
          <w:cantSplit/>
        </w:trPr>
        <w:tc>
          <w:tcPr>
            <w:tcW w:type="dxa" w:w="2381"/>
            <w:vAlign w:val="center"/>
          </w:tcPr>
          <w:p>
            <w:pPr>
              <w:pStyle w:val="Compact"/>
              <w:spacing w:line="300" w:lineRule="exact" w:before="80" w:after="80"/>
              <w:ind w:firstLine="0"/>
              <w:jc w:val="left"/>
            </w:pPr>
            <w:r>
              <w:rPr>
                <w:rFonts w:hint="eastAsia"/>
                <w:sz w:val="20"/>
              </w:rPr>
              <w:t xml:space="preserve">名义DDP</w:t>
            </w:r>
          </w:p>
        </w:tc>
        <w:tc>
          <w:tcPr>
            <w:tcW w:type="dxa" w:w="2154"/>
            <w:vAlign w:val="center"/>
          </w:tcPr>
          <w:p>
            <w:pPr>
              <w:pStyle w:val="Compact"/>
              <w:spacing w:line="300" w:lineRule="exact" w:before="80" w:after="80"/>
              <w:ind w:firstLine="0"/>
              <w:jc w:val="center"/>
            </w:pPr>
            <w:r>
              <w:rPr>
                <w:sz w:val="20"/>
              </w:rPr>
              <w:t xml:space="preserve">2.565</w:t>
            </w:r>
          </w:p>
        </w:tc>
        <w:tc>
          <w:tcPr>
            <w:tcW w:type="dxa" w:w="1814"/>
            <w:vAlign w:val="center"/>
          </w:tcPr>
          <w:p>
            <w:pPr>
              <w:pStyle w:val="Compact"/>
              <w:spacing w:line="300" w:lineRule="exact" w:before="80" w:after="80"/>
              <w:ind w:firstLine="0"/>
              <w:jc w:val="center"/>
            </w:pPr>
            <w:r>
              <w:rPr>
                <w:sz w:val="20"/>
              </w:rPr>
              <w:t xml:space="preserve">1.348</w:t>
            </w:r>
          </w:p>
        </w:tc>
        <w:tc>
          <w:tcPr>
            <w:tcW w:type="dxa" w:w="2608"/>
            <w:vAlign w:val="center"/>
          </w:tcPr>
          <w:p>
            <w:pPr>
              <w:pStyle w:val="Compact"/>
              <w:spacing w:line="300" w:lineRule="exact" w:before="80" w:after="80"/>
              <w:ind w:firstLine="0"/>
              <w:jc w:val="center"/>
            </w:pPr>
            <w:r>
              <w:rPr>
                <w:sz w:val="20"/>
              </w:rPr>
              <w:t xml:space="preserve">1.216</w:t>
            </w:r>
          </w:p>
        </w:tc>
      </w:tr>
      <w:tr>
        <w:trPr>
          <w:cantSplit/>
        </w:trPr>
        <w:tc>
          <w:tcPr>
            <w:tcW w:type="dxa" w:w="2381"/>
            <w:vAlign w:val="center"/>
          </w:tcPr>
          <w:p>
            <w:pPr>
              <w:pStyle w:val="Compact"/>
              <w:spacing w:line="300" w:lineRule="exact" w:before="80" w:after="80"/>
              <w:ind w:firstLine="0"/>
              <w:jc w:val="left"/>
            </w:pPr>
            <w:r>
              <w:rPr>
                <w:rFonts w:hint="eastAsia"/>
                <w:sz w:val="20"/>
              </w:rPr>
              <w:t xml:space="preserve">摩擦补偿DDP</w:t>
            </w:r>
          </w:p>
        </w:tc>
        <w:tc>
          <w:tcPr>
            <w:tcW w:type="dxa" w:w="2154"/>
            <w:vAlign w:val="center"/>
          </w:tcPr>
          <w:p>
            <w:pPr>
              <w:pStyle w:val="Compact"/>
              <w:spacing w:line="300" w:lineRule="exact" w:before="80" w:after="80"/>
              <w:ind w:firstLine="0"/>
              <w:jc w:val="center"/>
            </w:pPr>
            <w:r>
              <w:rPr>
                <w:sz w:val="20"/>
              </w:rPr>
              <w:t xml:space="preserve">1.962</w:t>
            </w:r>
          </w:p>
        </w:tc>
        <w:tc>
          <w:tcPr>
            <w:tcW w:type="dxa" w:w="1814"/>
            <w:vAlign w:val="center"/>
          </w:tcPr>
          <w:p>
            <w:pPr>
              <w:pStyle w:val="Compact"/>
              <w:spacing w:line="300" w:lineRule="exact" w:before="80" w:after="80"/>
              <w:ind w:firstLine="0"/>
              <w:jc w:val="center"/>
            </w:pPr>
            <w:r>
              <w:rPr>
                <w:sz w:val="20"/>
              </w:rPr>
              <w:t xml:space="preserve">1.184</w:t>
            </w:r>
          </w:p>
        </w:tc>
        <w:tc>
          <w:tcPr>
            <w:tcW w:type="dxa" w:w="2608"/>
            <w:vAlign w:val="center"/>
          </w:tcPr>
          <w:p>
            <w:pPr>
              <w:pStyle w:val="Compact"/>
              <w:spacing w:line="300" w:lineRule="exact" w:before="80" w:after="80"/>
              <w:ind w:firstLine="0"/>
              <w:jc w:val="center"/>
            </w:pPr>
            <w:r>
              <w:rPr>
                <w:sz w:val="20"/>
              </w:rPr>
              <w:t xml:space="preserve">0.968</w:t>
            </w:r>
          </w:p>
        </w:tc>
      </w:tr>
      <w:tr>
        <w:trPr>
          <w:cantSplit/>
        </w:trPr>
        <w:tc>
          <w:tcPr>
            <w:tcW w:type="dxa" w:w="2381"/>
            <w:vAlign w:val="center"/>
          </w:tcPr>
          <w:p>
            <w:pPr>
              <w:pStyle w:val="Compact"/>
              <w:spacing w:line="300" w:lineRule="exact" w:before="80" w:after="80"/>
              <w:ind w:firstLine="0"/>
              <w:jc w:val="left"/>
            </w:pPr>
            <w:r>
              <w:rPr>
                <w:rFonts w:hint="eastAsia"/>
                <w:sz w:val="20"/>
              </w:rPr>
              <w:t xml:space="preserve">DDP引导残差学习</w:t>
            </w:r>
          </w:p>
        </w:tc>
        <w:tc>
          <w:tcPr>
            <w:tcW w:type="dxa" w:w="2154"/>
            <w:vAlign w:val="center"/>
          </w:tcPr>
          <w:p>
            <w:pPr>
              <w:pStyle w:val="Compact"/>
              <w:spacing w:line="300" w:lineRule="exact" w:before="80" w:after="80"/>
              <w:ind w:firstLine="0"/>
              <w:jc w:val="center"/>
            </w:pPr>
            <w:r>
              <w:rPr>
                <w:sz w:val="20"/>
              </w:rPr>
              <w:t xml:space="preserve">0.338</w:t>
            </w:r>
          </w:p>
        </w:tc>
        <w:tc>
          <w:tcPr>
            <w:tcW w:type="dxa" w:w="1814"/>
            <w:vAlign w:val="center"/>
          </w:tcPr>
          <w:p>
            <w:pPr>
              <w:pStyle w:val="Compact"/>
              <w:spacing w:line="300" w:lineRule="exact" w:before="80" w:after="80"/>
              <w:ind w:firstLine="0"/>
              <w:jc w:val="center"/>
            </w:pPr>
            <w:r>
              <w:rPr>
                <w:sz w:val="20"/>
              </w:rPr>
              <w:t xml:space="preserve">0.203</w:t>
            </w:r>
          </w:p>
        </w:tc>
        <w:tc>
          <w:tcPr>
            <w:tcW w:type="dxa" w:w="2608"/>
            <w:vAlign w:val="center"/>
          </w:tcPr>
          <w:p>
            <w:pPr>
              <w:pStyle w:val="Compact"/>
              <w:spacing w:line="300" w:lineRule="exact" w:before="80" w:after="80"/>
              <w:ind w:firstLine="0"/>
              <w:jc w:val="center"/>
            </w:pPr>
            <w:r>
              <w:rPr>
                <w:sz w:val="20"/>
              </w:rPr>
              <w:t xml:space="preserve">0.110</w:t>
            </w:r>
          </w:p>
        </w:tc>
      </w:tr>
    </w:tbl>
    <w:p>
      <w:pPr>
        <w:pStyle w:val="BodyText"/>
        <w:widowControl/>
        <w:ind w:firstLine="480"/>
        <w:jc w:val="both"/>
      </w:pPr>
      <w:r>
        <w:rPr>
          <w:rFonts w:hint="eastAsia"/>
        </w:rPr>
        <w:t xml:space="preserve">来源：团队2026年投稿稿件，表V，Held-out集合。该结果对应固定安装的Panda及DDP控制；柔性支撑FR3上的阻抗–QP融合尚需本项目验证。</w:t>
      </w:r>
    </w:p>
    <w:p>
      <w:pPr>
        <w:pStyle w:val="BodyText"/>
        <w:widowControl/>
        <w:ind w:firstLine="480"/>
        <w:jc w:val="both"/>
      </w:pPr>
      <w:r>
        <w:rPr>
          <w:rFonts w:hint="eastAsia"/>
        </w:rPr>
        <w:t xml:space="preserve">稿件的未建模负载及零阶保持接口对比，为策略迁移和多更新频率执行提供了经验。柔性支撑条件下的阻抗–QP策略仍需重新训练与验证。</w:t>
      </w:r>
    </w:p>
    <w:bookmarkEnd w:id="71"/>
    <w:bookmarkStart w:id="72" w:name="接触几何与柔顺对接的相关研究积累"/>
    <w:p>
      <w:pPr>
        <w:pStyle w:val="Heading4"/>
        <w:widowControl/>
      </w:pPr>
      <w:r>
        <w:rPr>
          <w:rFonts w:hint="eastAsia"/>
        </w:rPr>
        <w:t xml:space="preserve">（4）接触几何与柔顺对接的相关研究积累</w:t>
      </w:r>
    </w:p>
    <w:p>
      <w:pPr>
        <w:pStyle w:val="FirstParagraph"/>
        <w:widowControl/>
        <w:ind w:firstLine="480"/>
        <w:jc w:val="both"/>
      </w:pPr>
      <w:r>
        <w:rPr>
          <w:rFonts w:hint="eastAsia"/>
        </w:rPr>
        <w:t xml:space="preserve">团队近期研究稿围绕复杂接口对接，提出物理方向辅助接触场配准和配准锚定捕获：利用接触位姿及物理方向信息构造接触场，通过在线接触位姿估计目标，再以配准结果为锚点进行有界参考修正。该研究建立了参考更新子系统的离散储能关系，已开展仿真及真机接触记录配准回放，新方法的真机捕获实验仍待完成。</w:t>
      </w:r>
    </w:p>
    <w:p>
      <w:pPr>
        <w:pStyle w:val="BodyText"/>
        <w:widowControl/>
        <w:ind w:firstLine="480"/>
        <w:jc w:val="both"/>
      </w:pPr>
      <w:r>
        <w:rPr>
          <w:rFonts w:hint="eastAsia"/>
        </w:rPr>
        <w:t xml:space="preserve">上述工作为本项目的接触几何表征和参考修正提供方法基础。本项目进一步将其与学习增强力矩控制结合，研究柔性支撑运动对配准、参考执行及接触载荷的影响，完成典型接口的地面对接验证。</w:t>
      </w:r>
    </w:p>
    <w:bookmarkEnd w:id="72"/>
    <w:bookmarkEnd w:id="73"/>
    <w:bookmarkStart w:id="76" w:name="工作条件"/>
    <w:p>
      <w:pPr>
        <w:pStyle w:val="Heading2"/>
        <w:widowControl/>
      </w:pPr>
      <w:r>
        <w:t xml:space="preserve">2. </w:t>
      </w:r>
      <w:r>
        <w:rPr>
          <w:rFonts w:hint="eastAsia"/>
        </w:rPr>
        <w:t xml:space="preserve">工作条件</w:t>
      </w:r>
    </w:p>
    <w:bookmarkStart w:id="74" w:name="已具备的条件"/>
    <w:p>
      <w:pPr>
        <w:pStyle w:val="Heading4"/>
        <w:widowControl/>
      </w:pPr>
      <w:r>
        <w:rPr>
          <w:rFonts w:hint="eastAsia"/>
        </w:rPr>
        <w:t xml:space="preserve">（1）已具备的条件</w:t>
      </w:r>
    </w:p>
    <w:p>
      <w:pPr>
        <w:pStyle w:val="FirstParagraph"/>
        <w:widowControl/>
        <w:ind w:firstLine="480"/>
        <w:jc w:val="both"/>
      </w:pPr>
      <w:r>
        <w:rPr>
          <w:rFonts w:hint="eastAsia"/>
        </w:rPr>
        <w:t xml:space="preserve">依托单位具有空间结构动力学和机器人控制研究团队，已具备七自由度Franka机械臂、开放力矩控制程序、动捕与IMU输入及同步记录基础。固定基座Panda残差学习实验提供了仿真训练到真实力矩控制的经验，FR3倒置建模与阻抗–QP程序提供了具体集成基础。现有地面模拟平台及模块对接实验条件可支持控制验证、场地布置和专项试验组织。</w:t>
      </w:r>
    </w:p>
    <w:bookmarkEnd w:id="74"/>
    <w:bookmarkStart w:id="75" w:name="尚需完善的条件及解决途径"/>
    <w:p>
      <w:pPr>
        <w:pStyle w:val="Heading4"/>
        <w:widowControl/>
      </w:pPr>
      <w:r>
        <w:rPr>
          <w:rFonts w:hint="eastAsia"/>
        </w:rPr>
        <w:t xml:space="preserve">（2）尚需完善的条件及解决途径</w:t>
      </w:r>
    </w:p>
    <w:p>
      <w:pPr>
        <w:pStyle w:val="FirstParagraph"/>
        <w:widowControl/>
        <w:ind w:firstLine="480"/>
        <w:jc w:val="both"/>
      </w:pPr>
      <w:r>
        <w:rPr>
          <w:rFonts w:hint="eastAsia"/>
        </w:rPr>
        <w:t xml:space="preserve">拟根据现有机器人承载能力增配可调柔性桁架支撑、标准载荷和结构测点，完成模态、时间同步及空间外参标定；共享现有计算与测量设备，补充必要的同步采集和控制接口。重点完善真实弹性反馈、安装界面响应和独立末端测量，支撑试件、接口改装及专项测试纳入项目预算。</w:t>
      </w:r>
    </w:p>
    <w:p>
      <w:pPr>
        <w:pStyle w:val="BodyText"/>
        <w:widowControl/>
        <w:ind w:firstLine="480"/>
        <w:jc w:val="both"/>
      </w:pPr>
      <w:r>
        <w:rPr>
          <w:rFonts w:hint="eastAsia"/>
        </w:rPr>
        <w:t xml:space="preserve">拟与重点实验室固定研究人员围绕结构模态测试、耦合动力学分析和学习增强控制开展合作，结合双方实际条件安排模型讨论、联合验证及成果交流。具体设备共享及试验分工依据实际合作安排落实。</w:t>
      </w:r>
    </w:p>
    <w:p>
      <w:pPr>
        <w:pStyle w:val="BodyText"/>
        <w:widowControl/>
        <w:ind w:firstLine="480"/>
        <w:jc w:val="both"/>
      </w:pPr>
      <w:r>
        <w:rPr>
          <w:rFonts w:hint="eastAsia"/>
          <w:b/>
          <w:bCs/>
          <w:color w:val="A60000"/>
        </w:rPr>
        <w:t xml:space="preserve">〔待补充〕南航重点实验室合作人员姓名、职称及分工；现有动捕、IMU和结构测量设备的型号、精度及可共享条件。</w:t>
      </w:r>
    </w:p>
    <w:bookmarkEnd w:id="75"/>
    <w:bookmarkEnd w:id="76"/>
    <w:bookmarkStart w:id="80" w:name="申请人简介"/>
    <w:p>
      <w:pPr>
        <w:pStyle w:val="Heading2"/>
        <w:widowControl/>
      </w:pPr>
      <w:r>
        <w:t xml:space="preserve">3. </w:t>
      </w:r>
      <w:r>
        <w:rPr>
          <w:rFonts w:hint="eastAsia"/>
        </w:rPr>
        <w:t xml:space="preserve">申请人简介</w:t>
      </w:r>
    </w:p>
    <w:bookmarkStart w:id="77" w:name="学历与研究工作简历"/>
    <w:p>
      <w:pPr>
        <w:pStyle w:val="Heading4"/>
        <w:widowControl/>
      </w:pPr>
      <w:r>
        <w:rPr>
          <w:rFonts w:hint="eastAsia"/>
        </w:rPr>
        <w:t xml:space="preserve">（1）学历与研究工作简历</w:t>
      </w:r>
    </w:p>
    <w:p>
      <w:pPr>
        <w:pStyle w:val="FirstParagraph"/>
        <w:widowControl/>
        <w:spacing w:line="340" w:lineRule="exact" w:after="40"/>
        <w:ind w:firstLine="480"/>
        <w:jc w:val="both"/>
      </w:pPr>
      <w:r>
        <w:rPr>
          <w:rFonts w:hint="eastAsia"/>
        </w:rPr>
        <w:t>单明贺，北京理工大学教授、博士生导师，国家级青年人才，主要从事空间在轨操作动力学与控制、柔性多体动力学和空间机器人技术研究。2007年9月至2011年7月在哈尔滨工业大学学习，获飞行器制造工程学士学位；2011年9月至2013年7月在哈尔滨工业大学学习，获航空宇航制造工程硕士学位；2013年11月至2018年6月在荷兰代尔夫特理工大学学习，获航天工程博士学位。2018年11月至2020年11月在美国马里兰大学帕克分校从事博士后研究，2021年1月起在北京理工大学工作。</w:t>
      </w:r>
    </w:p>
    <w:p>
      <w:pPr>
        <w:pStyle w:val="BodyText"/>
        <w:widowControl/>
        <w:spacing w:line="340" w:lineRule="exact" w:after="40"/>
        <w:ind w:firstLine="480"/>
        <w:jc w:val="both"/>
      </w:pPr>
      <w:r>
        <w:rPr>
          <w:rFonts w:hint="eastAsia"/>
        </w:rPr>
        <w:t>申请人主持国家科技重大专项子课题、国家自然科学基金面上项目和青年项目等科研项目10余项，发表高水平论文30余篇，获授权发明专利7项。其研究工作涉及空间机器人操作、柔性结构动力学和地面模拟验证，与本项目的柔性支撑耦合动力学及控制问题紧密相关。</w:t>
      </w:r>
    </w:p>
    <w:bookmarkEnd w:id="77"/>
    <w:bookmarkStart w:id="78" w:name="近期与本项目有关的主要论著"/>
    <w:p>
      <w:pPr>
        <w:pStyle w:val="Heading4"/>
        <w:widowControl/>
      </w:pPr>
      <w:r>
        <w:rPr>
          <w:rFonts w:hint="eastAsia"/>
        </w:rPr>
        <w:t xml:space="preserve">（2）近期与本项目有关的主要论著</w:t>
      </w:r>
    </w:p>
    <w:p>
      <w:pPr>
        <w:widowControl/>
        <w:numPr>
          <w:ilvl w:val="0"/>
          <w:numId w:val="1001"/>
        </w:numPr>
        <w:spacing w:line="340" w:lineRule="exact" w:after="40"/>
        <w:ind w:firstLine="480"/>
        <w:jc w:val="both"/>
      </w:pPr>
      <w:r>
        <w:rPr>
          <w:rFonts w:hint="eastAsia"/>
        </w:rPr>
        <w:t xml:space="preserve">祁伊凡,</w:t>
      </w:r>
      <w:r>
        <w:t xml:space="preserve"> </w:t>
      </w:r>
      <w:r>
        <w:rPr>
          <w:rFonts w:hint="eastAsia"/>
        </w:rPr>
        <w:t xml:space="preserve">单明贺,</w:t>
      </w:r>
      <w:r>
        <w:t xml:space="preserve"> </w:t>
      </w:r>
      <w:r>
        <w:rPr>
          <w:rFonts w:hint="eastAsia"/>
        </w:rPr>
        <w:t xml:space="preserve">田强.</w:t>
      </w:r>
      <w:r>
        <w:t xml:space="preserve"> </w:t>
      </w:r>
      <w:r>
        <w:rPr>
          <w:rFonts w:hint="eastAsia"/>
        </w:rPr>
        <w:t xml:space="preserve">空间多柔体系统缩比等效动力学建模方法研究[J].</w:t>
      </w:r>
      <w:r>
        <w:t xml:space="preserve"> </w:t>
      </w:r>
      <w:r>
        <w:rPr>
          <w:rFonts w:hint="eastAsia"/>
        </w:rPr>
        <w:t xml:space="preserve">中国科学:</w:t>
      </w:r>
      <w:r>
        <w:t xml:space="preserve"> </w:t>
      </w:r>
      <w:r>
        <w:rPr>
          <w:rFonts w:hint="eastAsia"/>
        </w:rPr>
        <w:t xml:space="preserve">物理学</w:t>
      </w:r>
      <w:r>
        <w:t xml:space="preserve"> </w:t>
      </w:r>
      <w:r>
        <w:rPr>
          <w:rFonts w:hint="eastAsia"/>
        </w:rPr>
        <w:t xml:space="preserve">力学</w:t>
      </w:r>
      <w:r>
        <w:t xml:space="preserve"> </w:t>
      </w:r>
      <w:r>
        <w:rPr>
          <w:rFonts w:hint="eastAsia"/>
        </w:rPr>
        <w:t xml:space="preserve">天文学,</w:t>
      </w:r>
      <w:r>
        <w:t xml:space="preserve"> 2025, 55(2): 224518. DOI:</w:t>
      </w:r>
      <w:r>
        <w:t xml:space="preserve"> </w:t>
      </w:r>
      <w:hyperlink r:id="rId28">
        <w:r>
          <w:rPr>
            <w:rStyle w:val="Hyperlink"/>
          </w:rPr>
          <w:t xml:space="preserve">https://doi.org/10.1360/SSPMA-2024-0302</w:t>
        </w:r>
      </w:hyperlink>
      <w:r>
        <w:t xml:space="preserve">.</w:t>
      </w:r>
    </w:p>
    <w:p>
      <w:pPr>
        <w:widowControl/>
        <w:numPr>
          <w:ilvl w:val="0"/>
          <w:numId w:val="1001"/>
        </w:numPr>
        <w:spacing w:line="340" w:lineRule="exact" w:after="40"/>
        <w:ind w:firstLine="480"/>
        <w:jc w:val="both"/>
      </w:pPr>
      <w:r>
        <w:rPr>
          <w:rFonts w:hint="eastAsia"/>
        </w:rPr>
        <w:t xml:space="preserve">史玲玲,</w:t>
      </w:r>
      <w:r>
        <w:t xml:space="preserve"> </w:t>
      </w:r>
      <w:r>
        <w:rPr>
          <w:rFonts w:hint="eastAsia"/>
        </w:rPr>
        <w:t xml:space="preserve">肖晓龙,</w:t>
      </w:r>
      <w:r>
        <w:t xml:space="preserve"> </w:t>
      </w:r>
      <w:r>
        <w:rPr>
          <w:rFonts w:hint="eastAsia"/>
        </w:rPr>
        <w:t xml:space="preserve">张晓峰,</w:t>
      </w:r>
      <w:r>
        <w:t xml:space="preserve"> </w:t>
      </w:r>
      <w:r>
        <w:rPr>
          <w:rFonts w:hint="eastAsia"/>
        </w:rPr>
        <w:t xml:space="preserve">范立佳,</w:t>
      </w:r>
      <w:r>
        <w:t xml:space="preserve"> </w:t>
      </w:r>
      <w:r>
        <w:rPr>
          <w:rFonts w:hint="eastAsia"/>
        </w:rPr>
        <w:t xml:space="preserve">单明贺,</w:t>
      </w:r>
      <w:r>
        <w:t xml:space="preserve"> </w:t>
      </w:r>
      <w:r>
        <w:rPr>
          <w:rFonts w:hint="eastAsia"/>
        </w:rPr>
        <w:t xml:space="preserve">田强.</w:t>
      </w:r>
      <w:r>
        <w:t xml:space="preserve"> </w:t>
      </w:r>
      <w:r>
        <w:rPr>
          <w:rFonts w:hint="eastAsia"/>
        </w:rPr>
        <w:t xml:space="preserve">空间机器人在轨组装多模块单元的对接力控制与地面实验[J].</w:t>
      </w:r>
      <w:r>
        <w:t xml:space="preserve"> </w:t>
      </w:r>
      <w:r>
        <w:rPr>
          <w:rFonts w:hint="eastAsia"/>
        </w:rPr>
        <w:t xml:space="preserve">力学学报,</w:t>
      </w:r>
      <w:r>
        <w:t xml:space="preserve"> 2024, 56(3): 800–816. DOI:</w:t>
      </w:r>
      <w:r>
        <w:t xml:space="preserve"> </w:t>
      </w:r>
      <w:hyperlink r:id="rId27">
        <w:r>
          <w:rPr>
            <w:rStyle w:val="Hyperlink"/>
          </w:rPr>
          <w:t xml:space="preserve">https://doi.org/10.6052/0459-1879-23-458</w:t>
        </w:r>
      </w:hyperlink>
      <w:r>
        <w:t xml:space="preserve">.</w:t>
      </w:r>
    </w:p>
    <w:p>
      <w:pPr>
        <w:widowControl/>
        <w:numPr>
          <w:ilvl w:val="0"/>
          <w:numId w:val="1001"/>
        </w:numPr>
        <w:spacing w:line="340" w:lineRule="exact" w:after="40"/>
        <w:ind w:firstLine="480"/>
        <w:jc w:val="both"/>
      </w:pPr>
      <w:r>
        <w:t xml:space="preserve">Sonneville V, Scapolan M, Shan M, Bauchau O A. Modal reduction procedures for flexible multibody dynamics[J]. Multibody System Dynamics, 2021, 51(4): 377–418. DOI:</w:t>
      </w:r>
      <w:r>
        <w:t xml:space="preserve"> </w:t>
      </w:r>
      <w:hyperlink r:id="rId19">
        <w:r>
          <w:rPr>
            <w:rStyle w:val="Hyperlink"/>
          </w:rPr>
          <w:t xml:space="preserve">https://doi.org/10.1007/s11044-020-09770-w</w:t>
        </w:r>
      </w:hyperlink>
      <w:r>
        <w:t xml:space="preserve">.</w:t>
      </w:r>
    </w:p>
    <w:bookmarkEnd w:id="78"/>
    <w:bookmarkStart w:id="79" w:name="学术奖励"/>
    <w:p>
      <w:pPr>
        <w:pStyle w:val="Heading4"/>
        <w:widowControl/>
      </w:pPr>
      <w:r>
        <w:rPr>
          <w:rFonts w:hint="eastAsia"/>
        </w:rPr>
        <w:t xml:space="preserve">（3）学术奖励</w:t>
      </w:r>
    </w:p>
    <w:p>
      <w:pPr>
        <w:pStyle w:val="FirstParagraph"/>
        <w:widowControl/>
        <w:spacing w:line="340" w:lineRule="exact" w:after="40"/>
        <w:ind w:firstLine="480"/>
        <w:jc w:val="both"/>
      </w:pPr>
      <w:r>
        <w:rPr>
          <w:rFonts w:hint="eastAsia"/>
        </w:rPr>
        <w:t>单明贺，国际空间研究委员会青年科学家最佳论文奖（COSPAR Outstanding Paper Award for Young Scientists），2022年。对应论文为：Minghe Shan, Jian Guo, Eberhard Gill. An analysis of the flexibility modeling of a net for space debris removal[J]. Advances in Space Research, 2020, 65(3): 1083–1094. DOI: 10.1016/j.asr.2019.10.041。该奖获奖者为单明贺。</w:t>
      </w:r>
    </w:p>
    <w:p>
      <w:pPr>
        <w:pStyle w:val="BodyText"/>
        <w:widowControl/>
        <w:spacing w:line="340" w:lineRule="exact" w:after="40"/>
        <w:ind w:firstLine="480"/>
        <w:jc w:val="both"/>
      </w:pPr>
      <w:r>
        <w:rPr>
          <w:rFonts w:hint="eastAsia"/>
        </w:rPr>
        <w:t>张大羽，罗凯，赵将，韩石磊，朱佳龙，单明贺，王辉，刘凡，薛永刚，王立朋. 空间大型柔性可展结构高可靠展开与超低频模态辨识关键技术及应用. 中国振动工程学会科学技术奖二等奖，2023年度。主要完成单位为西安空间无线电技术研究所、北京理工大学；单明贺列第6位。</w:t>
      </w:r>
    </w:p>
    <w:bookmarkEnd w:id="79"/>
    <w:bookmarkEnd w:id="80"/>
    <w:bookmarkStart w:id="81" w:name="项目组主要成员简介"/>
    <w:p>
      <w:pPr>
        <w:pStyle w:val="Heading2"/>
        <w:widowControl/>
      </w:pPr>
      <w:r>
        <w:t xml:space="preserve">4. </w:t>
      </w:r>
      <w:r>
        <w:rPr>
          <w:rFonts w:hint="eastAsia"/>
        </w:rPr>
        <w:t xml:space="preserve">项目组主要成员简介</w:t>
      </w:r>
    </w:p>
    <w:bookmarkEnd w:id="81"/>
    <w:bookmarkStart w:id="82" w:name="近五年承担科研项目情况"/>
    <w:p>
      <w:pPr>
        <w:pStyle w:val="BodyText"/>
        <w:widowControl/>
        <w:spacing w:line="340" w:lineRule="exact" w:after="40"/>
        <w:ind w:firstLine="480"/>
        <w:jc w:val="both"/>
      </w:pPr>
      <w:r>
        <w:rPr>
          <w:rFonts w:hint="eastAsia"/>
        </w:rPr>
        <w:t>项目组主要成员暂按与本项目直接相关的论文作者列示，申请人单明贺的简介见前节。</w:t>
      </w:r>
    </w:p>
    <w:p>
      <w:pPr>
        <w:pStyle w:val="BodyText"/>
        <w:widowControl/>
        <w:spacing w:line="340" w:lineRule="exact" w:after="40"/>
        <w:ind w:firstLine="480"/>
        <w:jc w:val="both"/>
      </w:pPr>
      <w:r>
        <w:rPr>
          <w:rFonts w:hint="eastAsia"/>
        </w:rPr>
        <w:t>祁伊凡、韩石磊、Mingwu Li、田强：相关研究涉及柔性多体动力学、缩比等效建模和几何精确梁降阶，为柔性支撑建模与模态选取提供基础。</w:t>
      </w:r>
    </w:p>
    <w:p>
      <w:pPr>
        <w:pStyle w:val="BodyText"/>
        <w:widowControl/>
        <w:spacing w:line="340" w:lineRule="exact" w:after="40"/>
        <w:ind w:firstLine="480"/>
        <w:jc w:val="both"/>
      </w:pPr>
      <w:r>
        <w:rPr>
          <w:rFonts w:hint="eastAsia"/>
        </w:rPr>
        <w:t>苏文康、史玲玲、Andreas Müller：相关研究涉及任务优先协同操作控制与实时优化，为受约束动力学控制提供基础。</w:t>
      </w:r>
    </w:p>
    <w:p>
      <w:pPr>
        <w:pStyle w:val="BodyText"/>
        <w:widowControl/>
        <w:spacing w:line="340" w:lineRule="exact" w:after="40"/>
        <w:ind w:firstLine="480"/>
        <w:jc w:val="both"/>
      </w:pPr>
      <w:r>
        <w:rPr>
          <w:rFonts w:hint="eastAsia"/>
        </w:rPr>
        <w:t>Qiming Ren：相关研究涉及在轨组装柔顺控制与轨迹规划，为阻抗控制及运动参考设计提供基础。</w:t>
      </w:r>
    </w:p>
    <w:p>
      <w:pPr>
        <w:pStyle w:val="Heading4"/>
        <w:widowControl/>
        <w:spacing w:line="340" w:lineRule="exact" w:after="40"/>
        <w:ind w:firstLine="480"/>
        <w:jc w:val="both"/>
      </w:pPr>
      <w:r>
        <w:rPr>
          <w:rFonts w:hint="eastAsia"/>
        </w:rPr>
        <w:t>近期与本项目有关的主要论著</w:t>
      </w:r>
    </w:p>
    <w:p>
      <w:pPr>
        <w:pStyle w:val="BodyText"/>
        <w:keepLines/>
        <w:widowControl/>
        <w:spacing w:line="340" w:lineRule="exact" w:after="40"/>
        <w:ind w:firstLine="480"/>
        <w:jc w:val="both"/>
      </w:pPr>
      <w:r>
        <w:rPr>
          <w:rFonts w:hint="eastAsia"/>
        </w:rPr>
        <w:t>1. Yifan Qi, Minghe Shan. Simulation on Flexible Multibody System with Topology Changes for In-space Assembly[J]. The Journal of the Astronautical Sciences, 2024, 71(2): 11. DOI: 10.1007/s40295-024-00431-0.</w:t>
      </w:r>
    </w:p>
    <w:p>
      <w:pPr>
        <w:pStyle w:val="BodyText"/>
        <w:keepLines/>
        <w:widowControl/>
        <w:spacing w:line="340" w:lineRule="exact" w:after="40"/>
        <w:ind w:firstLine="480"/>
        <w:jc w:val="both"/>
      </w:pPr>
      <w:r>
        <w:rPr>
          <w:rFonts w:hint="eastAsia"/>
        </w:rPr>
        <w:t>2. 祁伊凡, 单明贺, 田强. 空间多柔体系统缩比等效动力学建模方法研究[J]. 中国科学：物理学 力学 天文学, 2025, 55(2): 224518. DOI: 10.1360/SSPMA-2024-0302.</w:t>
      </w:r>
    </w:p>
    <w:p>
      <w:pPr>
        <w:pStyle w:val="BodyText"/>
        <w:keepLines/>
        <w:widowControl/>
        <w:spacing w:line="340" w:lineRule="exact" w:after="40"/>
        <w:ind w:firstLine="480"/>
        <w:jc w:val="both"/>
      </w:pPr>
      <w:r>
        <w:rPr>
          <w:rFonts w:hint="eastAsia"/>
        </w:rPr>
        <w:t>3. Yifan Qi, Shilei Han, Minghe Shan, Mingwu Li, Qiang Tian. Invariant-manifold-based model reduction for geometrically exact beam dynamics[J]. Computer Methods in Applied Mechanics and Engineering, 2026, 450: 118643. DOI: 10.1016/j.cma.2025.118643.</w:t>
      </w:r>
    </w:p>
    <w:p>
      <w:pPr>
        <w:pStyle w:val="BodyText"/>
        <w:keepLines/>
        <w:widowControl/>
        <w:spacing w:line="340" w:lineRule="exact" w:after="40"/>
        <w:ind w:firstLine="480"/>
        <w:jc w:val="both"/>
      </w:pPr>
      <w:r>
        <w:rPr>
          <w:rFonts w:hint="eastAsia"/>
        </w:rPr>
        <w:t>4. Wenkang Su, Lingling Shi, Andreas Müller, Minghe Shan. Cooperative manipulation control with task-prioritized real-time optimization for free-floating dual-arm space robots[J]. Aerospace Science and Technology, 2026, 171: 111584. DOI: 10.1016/j.ast.2025.111584.</w:t>
      </w:r>
    </w:p>
    <w:p>
      <w:pPr>
        <w:pStyle w:val="BodyText"/>
        <w:keepLines/>
        <w:widowControl/>
        <w:spacing w:line="340" w:lineRule="exact" w:after="40"/>
        <w:ind w:firstLine="480"/>
        <w:jc w:val="both"/>
      </w:pPr>
      <w:r>
        <w:rPr>
          <w:rFonts w:hint="eastAsia"/>
        </w:rPr>
        <w:t>5. Qiming Ren, Minghe Shan. A unified framework for compliant control and trajectory planning in robotic in-orbit assembly[J]. Acta Astronautica, 2026, 243: 32–45. DOI: 10.1016/j.actaastro.2026.01.029.</w:t>
      </w:r>
    </w:p>
    <w:p>
      <w:pPr>
        <w:pStyle w:val="BodyText"/>
        <w:widowControl/>
        <w:spacing w:line="340" w:lineRule="exact" w:after="40"/>
        <w:ind w:firstLine="480"/>
        <w:jc w:val="both"/>
      </w:pPr>
      <w:r>
        <w:rPr>
          <w:rFonts w:hint="eastAsia"/>
        </w:rPr>
        <w:t>韩石磊参与的2023年度中国振动工程学会科学技术奖二等奖成果及全部受奖人员见前节“学术奖励”，本人列第4位。</w:t>
      </w:r>
    </w:p>
    <w:p>
      <w:pPr>
        <w:pStyle w:val="BodyText"/>
        <w:widowControl/>
        <w:spacing w:line="340" w:lineRule="exact" w:after="40"/>
        <w:ind w:firstLine="480"/>
        <w:jc w:val="both"/>
      </w:pPr>
      <w:r>
        <w:rPr>
          <w:rFonts w:hint="eastAsia"/>
          <w:color w:val="A00000"/>
        </w:rPr>
        <w:t>〔待补充〕上述成员的实际参研情况、职称及具体分工；其他相关学术奖励。</w:t>
      </w:r>
    </w:p>
    <w:p>
      <w:pPr>
        <w:pStyle w:val="Heading2"/>
        <w:widowControl/>
      </w:pPr>
      <w:r>
        <w:t xml:space="preserve">5. </w:t>
      </w:r>
      <w:r>
        <w:rPr>
          <w:rFonts w:hint="eastAsia"/>
        </w:rPr>
        <w:t xml:space="preserve">近五年承担科研项目情况</w:t>
      </w:r>
    </w:p>
    <w:p>
      <w:pPr>
        <w:pStyle w:val="FirstParagraph"/>
        <w:widowControl/>
        <w:spacing w:line="340" w:lineRule="exact" w:after="40"/>
        <w:ind w:firstLine="480"/>
        <w:jc w:val="both"/>
      </w:pPr>
      <w:r>
        <w:rPr>
          <w:rFonts w:hint="eastAsia"/>
        </w:rPr>
        <w:t xml:space="preserve">既有空间结构动力学、Franka运动控制、残差学习及接触对接研究，为本项目提供理论、算法与实验基础。本项目新增任务集中于柔性安装界面的动力学描述，残差强化学习与受约束阻抗控制的融合，以及柔性支撑条件下的接触参考修正与对接验证，交付对象为相应模型、算法和典型接口实验结果。</w:t>
      </w:r>
    </w:p>
    <w:p>
      <w:pPr>
        <w:pStyle w:val="BodyText"/>
        <w:widowControl/>
        <w:spacing w:line="340" w:lineRule="exact" w:after="40"/>
        <w:ind w:firstLine="480"/>
        <w:jc w:val="both"/>
      </w:pPr>
      <w:r>
        <w:rPr>
          <w:rFonts w:hint="eastAsia"/>
          <w:b/>
          <w:bCs/>
          <w:color w:val="A60000"/>
        </w:rPr>
        <w:t xml:space="preserve">〔待补充〕近五年各科研项目的正式名称、编号、经费来源、起止年月和承担角色，并依据实际任务书逐项说明与本项目的联系、任务边界及成果增量。</w:t>
      </w:r>
    </w:p>
    <w:bookmarkEnd w:id="82"/>
    <w:bookmarkEnd w:id="83"/>
    <w:bookmarkStart w:id="84" w:name="三经费预算"/>
    <w:p>
      <w:pPr>
        <w:pStyle w:val="Heading1"/>
        <w:pageBreakBefore/>
        <w:widowControl/>
      </w:pPr>
      <w:r>
        <w:rPr>
          <w:rFonts w:hint="eastAsia"/>
        </w:rPr>
        <w:t xml:space="preserve">三、经费预算</w:t>
      </w:r>
    </w:p>
    <w:p>
      <w:pPr>
        <w:pStyle w:val="FirstParagraph"/>
        <w:widowControl/>
        <w:ind w:firstLine="480"/>
        <w:jc w:val="both"/>
      </w:pPr>
      <w:r>
        <w:rPr>
          <w:rFonts w:hint="eastAsia"/>
        </w:rPr>
        <w:t xml:space="preserve">申请经费30.00万元，围绕柔性桁架支撑、测量与控制接口、专项测试及成果产出安排。依托现有机器人、计算设备和地面实验平台开展研究，优先共享可用仪器设备。经费预算如下。</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134"/>
        <w:gridCol w:w="6009"/>
      </w:tblGrid>
      <w:tr>
        <w:trPr>
          <w:tblHeader w:val="on"/>
          <w:tblHeader/>
          <w:cantSplit/>
        </w:trPr>
        <w:tc>
          <w:tcPr>
            <w:tcW w:type="dxa" w:w="1814"/>
            <w:vAlign w:val="center"/>
            <w:shd w:fill="F2F2F2"/>
          </w:tcPr>
          <w:p>
            <w:pPr>
              <w:pStyle w:val="Compact"/>
              <w:spacing w:line="300" w:lineRule="exact" w:before="80" w:after="80"/>
              <w:ind w:firstLine="0"/>
              <w:jc w:val="left"/>
            </w:pPr>
            <w:r>
              <w:rPr>
                <w:rFonts w:hint="eastAsia"/>
                <w:b/>
                <w:sz w:val="20"/>
              </w:rPr>
              <w:t xml:space="preserve">预算科目</w:t>
            </w:r>
          </w:p>
        </w:tc>
        <w:tc>
          <w:tcPr>
            <w:tcW w:type="dxa" w:w="1134"/>
            <w:vAlign w:val="center"/>
            <w:shd w:fill="F2F2F2"/>
          </w:tcPr>
          <w:p>
            <w:pPr>
              <w:pStyle w:val="Compact"/>
              <w:spacing w:line="300" w:lineRule="exact" w:before="80" w:after="80"/>
              <w:ind w:firstLine="0"/>
              <w:jc w:val="center"/>
            </w:pPr>
            <w:r>
              <w:rPr>
                <w:rFonts w:hint="eastAsia"/>
                <w:b/>
                <w:sz w:val="20"/>
              </w:rPr>
              <w:t xml:space="preserve">金额（万元）</w:t>
            </w:r>
          </w:p>
        </w:tc>
        <w:tc>
          <w:tcPr>
            <w:tcW w:type="dxa" w:w="6009"/>
            <w:vAlign w:val="center"/>
            <w:shd w:fill="F2F2F2"/>
          </w:tcPr>
          <w:p>
            <w:pPr>
              <w:pStyle w:val="Compact"/>
              <w:spacing w:line="300" w:lineRule="exact" w:before="80" w:after="80"/>
              <w:ind w:firstLine="0"/>
              <w:jc w:val="left"/>
            </w:pPr>
            <w:r>
              <w:rPr>
                <w:rFonts w:hint="eastAsia"/>
                <w:b/>
                <w:sz w:val="20"/>
              </w:rPr>
              <w:t xml:space="preserve">计算根据及理由</w:t>
            </w:r>
          </w:p>
        </w:tc>
      </w:tr>
      <w:tr>
        <w:trPr>
          <w:cantSplit/>
        </w:trPr>
        <w:tc>
          <w:tcPr>
            <w:tcW w:type="dxa" w:w="1814"/>
            <w:vAlign w:val="center"/>
          </w:tcPr>
          <w:p>
            <w:pPr>
              <w:pStyle w:val="Compact"/>
              <w:spacing w:line="300" w:lineRule="exact" w:before="80" w:after="80"/>
              <w:ind w:firstLine="0"/>
              <w:jc w:val="left"/>
            </w:pPr>
            <w:r>
              <w:rPr>
                <w:rFonts w:hint="eastAsia"/>
                <w:b/>
                <w:bCs/>
                <w:sz w:val="20"/>
              </w:rPr>
              <w:t xml:space="preserve">合计</w:t>
            </w:r>
          </w:p>
        </w:tc>
        <w:tc>
          <w:tcPr>
            <w:tcW w:type="dxa" w:w="1134"/>
            <w:vAlign w:val="center"/>
          </w:tcPr>
          <w:p>
            <w:pPr>
              <w:pStyle w:val="Compact"/>
              <w:spacing w:line="300" w:lineRule="exact" w:before="80" w:after="80"/>
              <w:ind w:firstLine="0"/>
              <w:jc w:val="center"/>
            </w:pPr>
            <w:r>
              <w:rPr>
                <w:b/>
                <w:bCs/>
                <w:sz w:val="20"/>
              </w:rPr>
              <w:t xml:space="preserve">30.00</w:t>
            </w:r>
          </w:p>
        </w:tc>
        <w:tc>
          <w:tcPr>
            <w:tcW w:type="dxa" w:w="6009"/>
            <w:vAlign w:val="center"/>
          </w:tcPr>
          <w:p>
            <w:pPr>
              <w:pStyle w:val="Compact"/>
              <w:spacing w:line="300" w:lineRule="exact" w:before="80" w:after="80"/>
              <w:ind w:firstLine="0"/>
              <w:jc w:val="left"/>
            </w:pPr>
            <w:r>
              <w:rPr>
                <w:rFonts w:hint="eastAsia"/>
                <w:sz w:val="20"/>
              </w:rPr>
              <w:t xml:space="preserve">服务于三项递进研究内容及其地面实验验证。</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设备费</w:t>
            </w:r>
          </w:p>
        </w:tc>
        <w:tc>
          <w:tcPr>
            <w:tcW w:type="dxa" w:w="1134"/>
            <w:vAlign w:val="center"/>
          </w:tcPr>
          <w:p>
            <w:pPr>
              <w:pStyle w:val="Compact"/>
              <w:spacing w:line="300" w:lineRule="exact" w:before="80" w:after="80"/>
              <w:ind w:firstLine="0"/>
              <w:jc w:val="center"/>
            </w:pPr>
            <w:r>
              <w:rPr>
                <w:sz w:val="20"/>
              </w:rPr>
              <w:t xml:space="preserve">4.00</w:t>
            </w:r>
          </w:p>
        </w:tc>
        <w:tc>
          <w:tcPr>
            <w:tcW w:type="dxa" w:w="6009"/>
            <w:vAlign w:val="center"/>
          </w:tcPr>
          <w:p>
            <w:pPr>
              <w:pStyle w:val="Compact"/>
              <w:spacing w:line="300" w:lineRule="exact" w:before="80" w:after="80"/>
              <w:ind w:firstLine="0"/>
              <w:jc w:val="left"/>
            </w:pPr>
            <w:r>
              <w:rPr>
                <w:rFonts w:hint="eastAsia"/>
                <w:sz w:val="20"/>
              </w:rPr>
              <w:t xml:space="preserve">同步采集和实时控制接口改装所需设备及配件1套，按4.00万元测算，用于关节、结构响应与末端测量的时序同步。</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材料费</w:t>
            </w:r>
          </w:p>
        </w:tc>
        <w:tc>
          <w:tcPr>
            <w:tcW w:type="dxa" w:w="1134"/>
            <w:vAlign w:val="center"/>
          </w:tcPr>
          <w:p>
            <w:pPr>
              <w:pStyle w:val="Compact"/>
              <w:spacing w:line="300" w:lineRule="exact" w:before="80" w:after="80"/>
              <w:ind w:firstLine="0"/>
              <w:jc w:val="center"/>
            </w:pPr>
            <w:r>
              <w:rPr>
                <w:sz w:val="20"/>
              </w:rPr>
              <w:t xml:space="preserve">6.00</w:t>
            </w:r>
          </w:p>
        </w:tc>
        <w:tc>
          <w:tcPr>
            <w:tcW w:type="dxa" w:w="6009"/>
            <w:vAlign w:val="center"/>
          </w:tcPr>
          <w:p>
            <w:pPr>
              <w:pStyle w:val="Compact"/>
              <w:spacing w:line="300" w:lineRule="exact" w:before="80" w:after="80"/>
              <w:ind w:firstLine="0"/>
              <w:jc w:val="left"/>
            </w:pPr>
            <w:r>
              <w:rPr>
                <w:rFonts w:hint="eastAsia"/>
                <w:sz w:val="20"/>
              </w:rPr>
              <w:t xml:space="preserve">3组柔性支撑状态对应的桁架及可换连接组件原材料，每组1.20万元，共3.60万元；夹具及标准载荷材料1.40万元；传感安装、线缆等耗材1.00万元。</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测试化验加工费</w:t>
            </w:r>
          </w:p>
        </w:tc>
        <w:tc>
          <w:tcPr>
            <w:tcW w:type="dxa" w:w="1134"/>
            <w:vAlign w:val="center"/>
          </w:tcPr>
          <w:p>
            <w:pPr>
              <w:pStyle w:val="Compact"/>
              <w:spacing w:line="300" w:lineRule="exact" w:before="80" w:after="80"/>
              <w:ind w:firstLine="0"/>
              <w:jc w:val="center"/>
            </w:pPr>
            <w:r>
              <w:rPr>
                <w:sz w:val="20"/>
              </w:rPr>
              <w:t xml:space="preserve">9.00</w:t>
            </w:r>
          </w:p>
        </w:tc>
        <w:tc>
          <w:tcPr>
            <w:tcW w:type="dxa" w:w="6009"/>
            <w:vAlign w:val="center"/>
          </w:tcPr>
          <w:p>
            <w:pPr>
              <w:pStyle w:val="Compact"/>
              <w:spacing w:line="300" w:lineRule="exact" w:before="80" w:after="80"/>
              <w:ind w:firstLine="0"/>
              <w:jc w:val="left"/>
            </w:pPr>
            <w:r>
              <w:rPr>
                <w:rFonts w:hint="eastAsia"/>
                <w:sz w:val="20"/>
              </w:rPr>
              <w:t xml:space="preserve">支撑及夹具加工装配3批，每批1.50万元，共4.50万元；专项模态与测量标定3批，每批0.80万元，共2.40万元；外协动态测量与联合测试3批，每批0.70万元，共2.10万元。共享仪器免费使用部分不重复计费。</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差旅费</w:t>
            </w:r>
          </w:p>
        </w:tc>
        <w:tc>
          <w:tcPr>
            <w:tcW w:type="dxa" w:w="1134"/>
            <w:vAlign w:val="center"/>
          </w:tcPr>
          <w:p>
            <w:pPr>
              <w:pStyle w:val="Compact"/>
              <w:spacing w:line="300" w:lineRule="exact" w:before="80" w:after="80"/>
              <w:ind w:firstLine="0"/>
              <w:jc w:val="center"/>
            </w:pPr>
            <w:r>
              <w:rPr>
                <w:sz w:val="20"/>
              </w:rPr>
              <w:t xml:space="preserve">3.00</w:t>
            </w:r>
          </w:p>
        </w:tc>
        <w:tc>
          <w:tcPr>
            <w:tcW w:type="dxa" w:w="6009"/>
            <w:vAlign w:val="center"/>
          </w:tcPr>
          <w:p>
            <w:pPr>
              <w:pStyle w:val="Compact"/>
              <w:spacing w:line="300" w:lineRule="exact" w:before="80" w:after="80"/>
              <w:ind w:firstLine="0"/>
              <w:jc w:val="left"/>
            </w:pPr>
            <w:r>
              <w:rPr>
                <w:rFonts w:hint="eastAsia"/>
                <w:sz w:val="20"/>
              </w:rPr>
              <w:t xml:space="preserve">合作试验、专题交流及参加国内学术会议等约10人次，按每人次0.30万元测算。</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会议费</w:t>
            </w:r>
          </w:p>
        </w:tc>
        <w:tc>
          <w:tcPr>
            <w:tcW w:type="dxa" w:w="1134"/>
            <w:vAlign w:val="center"/>
          </w:tcPr>
          <w:p>
            <w:pPr>
              <w:pStyle w:val="Compact"/>
              <w:spacing w:line="300" w:lineRule="exact" w:before="80" w:after="80"/>
              <w:ind w:firstLine="0"/>
              <w:jc w:val="center"/>
            </w:pPr>
            <w:r>
              <w:rPr>
                <w:sz w:val="20"/>
              </w:rPr>
              <w:t xml:space="preserve">0.50</w:t>
            </w:r>
          </w:p>
        </w:tc>
        <w:tc>
          <w:tcPr>
            <w:tcW w:type="dxa" w:w="6009"/>
            <w:vAlign w:val="center"/>
          </w:tcPr>
          <w:p>
            <w:pPr>
              <w:pStyle w:val="Compact"/>
              <w:spacing w:line="300" w:lineRule="exact" w:before="80" w:after="80"/>
              <w:ind w:firstLine="0"/>
              <w:jc w:val="left"/>
            </w:pPr>
            <w:r>
              <w:rPr>
                <w:rFonts w:hint="eastAsia"/>
                <w:sz w:val="20"/>
              </w:rPr>
              <w:t xml:space="preserve">项目专题研讨及实验方案评议2次，按每次0.25万元测算。</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国际合作与交流费</w:t>
            </w:r>
          </w:p>
        </w:tc>
        <w:tc>
          <w:tcPr>
            <w:tcW w:type="dxa" w:w="1134"/>
            <w:vAlign w:val="center"/>
          </w:tcPr>
          <w:p>
            <w:pPr>
              <w:pStyle w:val="Compact"/>
              <w:spacing w:line="300" w:lineRule="exact" w:before="80" w:after="80"/>
              <w:ind w:firstLine="0"/>
              <w:jc w:val="center"/>
            </w:pPr>
            <w:r>
              <w:rPr>
                <w:sz w:val="20"/>
              </w:rPr>
              <w:t xml:space="preserve">0.00</w:t>
            </w:r>
          </w:p>
        </w:tc>
        <w:tc>
          <w:tcPr>
            <w:tcW w:type="dxa" w:w="6009"/>
            <w:vAlign w:val="center"/>
          </w:tcPr>
          <w:p>
            <w:pPr>
              <w:pStyle w:val="Compact"/>
              <w:spacing w:line="300" w:lineRule="exact" w:before="80" w:after="80"/>
              <w:ind w:firstLine="0"/>
              <w:jc w:val="left"/>
            </w:pPr>
            <w:r>
              <w:rPr>
                <w:rFonts w:hint="eastAsia"/>
                <w:sz w:val="20"/>
              </w:rPr>
              <w:t xml:space="preserve">以线上学术交流为主，不安排出国经费。</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出版/文献/信息传播/知识产权事务费</w:t>
            </w:r>
          </w:p>
        </w:tc>
        <w:tc>
          <w:tcPr>
            <w:tcW w:type="dxa" w:w="1134"/>
            <w:vAlign w:val="center"/>
          </w:tcPr>
          <w:p>
            <w:pPr>
              <w:pStyle w:val="Compact"/>
              <w:spacing w:line="300" w:lineRule="exact" w:before="80" w:after="80"/>
              <w:ind w:firstLine="0"/>
              <w:jc w:val="center"/>
            </w:pPr>
            <w:r>
              <w:rPr>
                <w:sz w:val="20"/>
              </w:rPr>
              <w:t xml:space="preserve">3.50</w:t>
            </w:r>
          </w:p>
        </w:tc>
        <w:tc>
          <w:tcPr>
            <w:tcW w:type="dxa" w:w="6009"/>
            <w:vAlign w:val="center"/>
          </w:tcPr>
          <w:p>
            <w:pPr>
              <w:pStyle w:val="Compact"/>
              <w:spacing w:line="300" w:lineRule="exact" w:before="80" w:after="80"/>
              <w:ind w:firstLine="0"/>
              <w:jc w:val="left"/>
            </w:pPr>
            <w:r>
              <w:rPr>
                <w:rFonts w:hint="eastAsia"/>
                <w:sz w:val="20"/>
              </w:rPr>
              <w:t xml:space="preserve">论文出版相关费用2篇，每篇按1.00万元测算，共2.00万元；发明专利申请及相关事务1.00万元；文献和信息资料0.50万元。</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专家咨询费</w:t>
            </w:r>
          </w:p>
        </w:tc>
        <w:tc>
          <w:tcPr>
            <w:tcW w:type="dxa" w:w="1134"/>
            <w:vAlign w:val="center"/>
          </w:tcPr>
          <w:p>
            <w:pPr>
              <w:pStyle w:val="Compact"/>
              <w:spacing w:line="300" w:lineRule="exact" w:before="80" w:after="80"/>
              <w:ind w:firstLine="0"/>
              <w:jc w:val="center"/>
            </w:pPr>
            <w:r>
              <w:rPr>
                <w:sz w:val="20"/>
              </w:rPr>
              <w:t xml:space="preserve">1.00</w:t>
            </w:r>
          </w:p>
        </w:tc>
        <w:tc>
          <w:tcPr>
            <w:tcW w:type="dxa" w:w="6009"/>
            <w:vAlign w:val="center"/>
          </w:tcPr>
          <w:p>
            <w:pPr>
              <w:pStyle w:val="Compact"/>
              <w:spacing w:line="300" w:lineRule="exact" w:before="80" w:after="80"/>
              <w:ind w:firstLine="0"/>
              <w:jc w:val="left"/>
            </w:pPr>
            <w:r>
              <w:rPr>
                <w:rFonts w:hint="eastAsia"/>
                <w:sz w:val="20"/>
              </w:rPr>
              <w:t xml:space="preserve">动力学建模及实验方案咨询约5人次，按每人次0.20万元测算；占总经费3.33%。</w:t>
            </w:r>
          </w:p>
        </w:tc>
      </w:tr>
      <w:tr>
        <w:trPr>
          <w:cantSplit/>
        </w:trPr>
        <w:tc>
          <w:tcPr>
            <w:tcW w:type="dxa" w:w="1814"/>
            <w:vAlign w:val="center"/>
          </w:tcPr>
          <w:p>
            <w:pPr>
              <w:pStyle w:val="Compact"/>
              <w:spacing w:line="300" w:lineRule="exact" w:before="80" w:after="80"/>
              <w:ind w:firstLine="0"/>
              <w:jc w:val="left"/>
            </w:pPr>
            <w:r>
              <w:rPr>
                <w:rFonts w:hint="eastAsia"/>
                <w:sz w:val="20"/>
              </w:rPr>
              <w:t xml:space="preserve">劳务费</w:t>
            </w:r>
          </w:p>
        </w:tc>
        <w:tc>
          <w:tcPr>
            <w:tcW w:type="dxa" w:w="1134"/>
            <w:vAlign w:val="center"/>
          </w:tcPr>
          <w:p>
            <w:pPr>
              <w:pStyle w:val="Compact"/>
              <w:spacing w:line="300" w:lineRule="exact" w:before="80" w:after="80"/>
              <w:ind w:firstLine="0"/>
              <w:jc w:val="center"/>
            </w:pPr>
            <w:r>
              <w:rPr>
                <w:sz w:val="20"/>
              </w:rPr>
              <w:t xml:space="preserve">3.00</w:t>
            </w:r>
          </w:p>
        </w:tc>
        <w:tc>
          <w:tcPr>
            <w:tcW w:type="dxa" w:w="6009"/>
            <w:vAlign w:val="center"/>
          </w:tcPr>
          <w:p>
            <w:pPr>
              <w:pStyle w:val="Compact"/>
              <w:spacing w:line="300" w:lineRule="exact" w:before="80" w:after="80"/>
              <w:ind w:firstLine="0"/>
              <w:jc w:val="left"/>
            </w:pPr>
            <w:r>
              <w:rPr>
                <w:rFonts w:hint="eastAsia"/>
                <w:sz w:val="20"/>
              </w:rPr>
              <w:t xml:space="preserve">参与建模、策略训练和实验工作的研究生2人，每人累计15个月，每人每月0.10万元；占总经费10.00%。</w:t>
            </w:r>
          </w:p>
        </w:tc>
      </w:tr>
    </w:tbl>
    <w:p>
      <w:pPr>
        <w:pStyle w:val="BodyText"/>
        <w:widowControl/>
        <w:ind w:firstLine="480"/>
        <w:jc w:val="both"/>
      </w:pPr>
      <w:r>
        <w:rPr>
          <w:rFonts w:hint="eastAsia"/>
        </w:rPr>
        <w:t xml:space="preserve">预算按研究需求测算，设备与测试项目结合现有条件核定，相关支出按实际发生及适用标准执行。专家咨询费和劳务费分别满足申请书模板规定的不超过总经费5%和10%的比例要求。</w:t>
      </w:r>
    </w:p>
    <w:bookmarkEnd w:id="84"/>
    <w:sectPr>
      <w:footerReference w:type="default" r:id="rId9"/>
      <w:footnotePr>
        <w:numRestart w:val="eachSect"/>
      </w:footnotePr>
      <w:pgSz w:w="11906" w:h="16838"/>
      <w:pgMar w:top="1417" w:bottom="1417" w:left="1474"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380" w:lineRule="exact"/>
    </w:pPr>
    <w:rPr>
      <w:rFonts w:ascii="Times New Roman" w:hAnsi="Times New Roman" w:eastAsia="Noto Serif CJK SC"/>
      <w:color w:val="000000"/>
      <w:sz w:val="24"/>
    </w:rPr>
  </w:style>
  <w:style w:styleId="BodyText" w:type="paragraph">
    <w:name w:val="Body Text"/>
    <w:basedOn w:val="Normal"/>
    <w:link w:val="BodyTextChar"/>
    <w:qFormat/>
    <w:pPr>
      <w:spacing w:after="60" w:before="180" w:line="380" w:lineRule="exact"/>
    </w:pPr>
    <w:rPr>
      <w:rFonts w:ascii="Times New Roman" w:hAnsi="Times New Roman" w:eastAsia="Noto Serif CJK SC"/>
      <w:color w:val="000000"/>
      <w:sz w:val="24"/>
    </w:rPr>
  </w:style>
  <w:style w:customStyle="1" w:styleId="FirstParagraph" w:type="paragraph">
    <w:name w:val="First Paragraph"/>
    <w:basedOn w:val="BodyText"/>
    <w:next w:val="BodyText"/>
    <w:qFormat/>
    <w:pPr>
      <w:spacing w:after="60" w:line="380" w:lineRule="exact"/>
    </w:pPr>
    <w:rPr>
      <w:rFonts w:ascii="Times New Roman" w:hAnsi="Times New Roman" w:eastAsia="Noto Serif CJK SC"/>
      <w:color w:val="000000"/>
      <w:sz w:val="24"/>
    </w:rPr>
  </w:style>
  <w:style w:customStyle="1" w:styleId="Compact" w:type="paragraph">
    <w:name w:val="Compact"/>
    <w:basedOn w:val="BodyText"/>
    <w:qFormat/>
    <w:pPr>
      <w:spacing w:after="60" w:before="36" w:line="380" w:lineRule="exact"/>
    </w:pPr>
    <w:rPr>
      <w:rFonts w:ascii="Times New Roman" w:hAnsi="Times New Roman" w:eastAsia="Noto Serif CJK SC"/>
      <w:color w:val="000000"/>
      <w:sz w:val="24"/>
    </w:rPr>
  </w:style>
  <w:style w:styleId="Title" w:type="paragraph">
    <w:name w:val="Title"/>
    <w:basedOn w:val="Normal"/>
    <w:next w:val="BodyText"/>
    <w:link w:val="TitleChar"/>
    <w:uiPriority w:val="10"/>
    <w:qFormat/>
    <w:rsid w:val="00A10FD9"/>
    <w:pPr>
      <w:keepNext/>
      <w:spacing w:after="100" w:line="380" w:lineRule="exact" w:before="200"/>
      <w:ind w:firstLine="0"/>
      <w:contextualSpacing/>
      <w:jc w:val="center"/>
    </w:pPr>
    <w:rPr>
      <w:rFonts w:asciiTheme="majorHAnsi" w:cstheme="majorBidi" w:eastAsiaTheme="majorEastAsia" w:hAnsiTheme="majorHAnsi" w:ascii="Times New Roman" w:hAnsi="Times New Roman" w:eastAsia="Noto Serif CJK SC"/>
      <w:b/>
      <w:i w:val="0"/>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60" w:line="380" w:lineRule="exact"/>
    </w:pPr>
    <w:rPr>
      <w:rFonts w:cstheme="majorBidi" w:eastAsiaTheme="majorEastAsia" w:ascii="Times New Roman" w:hAnsi="Times New Roman" w:eastAsia="Noto Serif CJK SC"/>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60" w:line="380" w:lineRule="exact"/>
    </w:pPr>
    <w:rPr>
      <w:rFonts w:ascii="Times New Roman" w:hAnsi="Times New Roman" w:eastAsia="Noto Serif CJK SC"/>
      <w:color w:val="000000"/>
      <w:sz w:val="24"/>
      <w:szCs w:val="24"/>
    </w:rPr>
  </w:style>
  <w:style w:styleId="Date" w:type="paragraph">
    <w:name w:val="Date"/>
    <w:basedOn w:val="Title"/>
    <w:next w:val="BodyText"/>
    <w:qFormat/>
    <w:pPr>
      <w:keepNext/>
      <w:keepLines/>
      <w:spacing w:after="60" w:line="380" w:lineRule="exact"/>
    </w:pPr>
    <w:rPr>
      <w:rFonts w:ascii="Times New Roman" w:hAnsi="Times New Roman" w:eastAsia="Noto Serif CJK SC"/>
      <w:color w:val="000000"/>
      <w:sz w:val="24"/>
      <w:szCs w:val="24"/>
    </w:rPr>
  </w:style>
  <w:style w:customStyle="1" w:styleId="AbstractTitle" w:type="paragraph">
    <w:name w:val="Abstract Title"/>
    <w:basedOn w:val="Normal"/>
    <w:next w:val="Abstract"/>
    <w:qFormat/>
    <w:pPr>
      <w:keepNext/>
      <w:keepLines/>
      <w:spacing w:after="60" w:before="300" w:line="380" w:lineRule="exact"/>
      <w:jc w:val="center"/>
    </w:pPr>
    <w:rPr>
      <w:rFonts w:ascii="Times New Roman" w:hAnsi="Times New Roman" w:eastAsia="Noto Serif CJK SC"/>
      <w:b/>
      <w:color w:val="000000"/>
      <w:sz w:val="24"/>
      <w:szCs w:val="20"/>
    </w:rPr>
  </w:style>
  <w:style w:customStyle="1" w:styleId="Abstract" w:type="paragraph">
    <w:name w:val="Abstract"/>
    <w:basedOn w:val="Normal"/>
    <w:next w:val="BodyText"/>
    <w:qFormat/>
    <w:pPr>
      <w:keepNext/>
      <w:keepLines/>
      <w:spacing w:after="60" w:before="100" w:line="380" w:lineRule="exact"/>
    </w:pPr>
    <w:rPr>
      <w:rFonts w:ascii="Times New Roman" w:hAnsi="Times New Roman" w:eastAsia="Noto Serif CJK SC"/>
      <w:color w:val="000000"/>
      <w:sz w:val="24"/>
      <w:szCs w:val="20"/>
    </w:rPr>
  </w:style>
  <w:style w:styleId="Bibliography" w:type="paragraph">
    <w:name w:val="Bibliography"/>
    <w:basedOn w:val="Normal"/>
    <w:next w:val="Bibliography"/>
    <w:qFormat/>
    <w:pPr>
      <w:spacing w:after="60" w:line="380" w:lineRule="exact"/>
    </w:pPr>
    <w:rPr>
      <w:rFonts w:ascii="Times New Roman" w:hAnsi="Times New Roman" w:eastAsia="Noto Serif CJK SC"/>
      <w:color w:val="000000"/>
      <w:sz w:val="24"/>
    </w:rPr>
  </w:style>
  <w:style w:styleId="Heading1" w:type="paragraph">
    <w:name w:val="heading 1"/>
    <w:basedOn w:val="Normal"/>
    <w:next w:val="BodyText"/>
    <w:link w:val="Heading1Char"/>
    <w:uiPriority w:val="9"/>
    <w:qFormat/>
    <w:rsid w:val="00A10FD9"/>
    <w:pPr>
      <w:keepNext/>
      <w:keepLines/>
      <w:spacing w:after="100" w:before="200" w:line="380" w:lineRule="exact"/>
      <w:ind w:firstLine="0"/>
      <w:outlineLvl w:val="0"/>
    </w:pPr>
    <w:rPr>
      <w:rFonts w:asciiTheme="majorHAnsi" w:cstheme="majorBidi" w:eastAsiaTheme="majorEastAsia" w:hAnsiTheme="majorHAnsi" w:ascii="Times New Roman" w:hAnsi="Times New Roman" w:eastAsia="Noto Serif CJK SC"/>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00" w:before="200" w:line="380" w:lineRule="exact"/>
      <w:ind w:firstLine="0"/>
      <w:outlineLvl w:val="1"/>
    </w:pPr>
    <w:rPr>
      <w:rFonts w:asciiTheme="majorHAnsi" w:cstheme="majorBidi" w:eastAsiaTheme="majorEastAsia" w:hAnsiTheme="majorHAnsi" w:ascii="Times New Roman" w:hAnsi="Times New Roman" w:eastAsia="Noto Serif CJK SC"/>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00" w:before="200" w:line="380" w:lineRule="exact"/>
      <w:ind w:firstLine="0"/>
      <w:outlineLvl w:val="2"/>
    </w:pPr>
    <w:rPr>
      <w:rFonts w:cstheme="majorBidi" w:eastAsiaTheme="majorEastAsia" w:ascii="Times New Roman" w:hAnsi="Times New Roman" w:eastAsia="Noto Serif CJK SC"/>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00" w:before="200" w:line="380" w:lineRule="exact"/>
      <w:ind w:firstLine="0"/>
      <w:outlineLvl w:val="3"/>
    </w:pPr>
    <w:rPr>
      <w:rFonts w:cstheme="majorBidi" w:eastAsiaTheme="majorEastAsia" w:ascii="Times New Roman" w:hAnsi="Times New Roman" w:eastAsia="Noto Serif CJK SC"/>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60" w:before="80" w:line="380" w:lineRule="exact"/>
      <w:outlineLvl w:val="4"/>
    </w:pPr>
    <w:rPr>
      <w:rFonts w:cstheme="majorBidi" w:eastAsiaTheme="majorEastAsia" w:ascii="Times New Roman" w:hAnsi="Times New Roman" w:eastAsia="Noto Serif CJK SC"/>
      <w:color w:val="000000"/>
      <w:sz w:val="24"/>
    </w:rPr>
  </w:style>
  <w:style w:styleId="Heading6" w:type="paragraph">
    <w:name w:val="heading 6"/>
    <w:basedOn w:val="Normal"/>
    <w:next w:val="BodyText"/>
    <w:link w:val="Heading6Char"/>
    <w:uiPriority w:val="9"/>
    <w:semiHidden/>
    <w:unhideWhenUsed/>
    <w:qFormat/>
    <w:rsid w:val="00A10FD9"/>
    <w:pPr>
      <w:keepNext/>
      <w:keepLines/>
      <w:spacing w:after="60" w:before="40" w:line="380" w:lineRule="exact"/>
      <w:outlineLvl w:val="5"/>
    </w:pPr>
    <w:rPr>
      <w:rFonts w:cstheme="majorBidi" w:eastAsiaTheme="majorEastAsia" w:ascii="Times New Roman" w:hAnsi="Times New Roman" w:eastAsia="Noto Serif CJK SC"/>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60" w:before="40" w:line="380" w:lineRule="exact"/>
      <w:outlineLvl w:val="6"/>
    </w:pPr>
    <w:rPr>
      <w:rFonts w:cstheme="majorBidi" w:eastAsiaTheme="majorEastAsia" w:ascii="Times New Roman" w:hAnsi="Times New Roman" w:eastAsia="Noto Serif CJK SC"/>
      <w:color w:val="000000"/>
      <w:sz w:val="24"/>
    </w:rPr>
  </w:style>
  <w:style w:styleId="Heading8" w:type="paragraph">
    <w:name w:val="heading 8"/>
    <w:basedOn w:val="Normal"/>
    <w:next w:val="BodyText"/>
    <w:link w:val="Heading8Char"/>
    <w:uiPriority w:val="9"/>
    <w:semiHidden/>
    <w:unhideWhenUsed/>
    <w:qFormat/>
    <w:rsid w:val="00A10FD9"/>
    <w:pPr>
      <w:keepNext/>
      <w:keepLines/>
      <w:spacing w:after="60" w:line="380" w:lineRule="exact"/>
      <w:outlineLvl w:val="7"/>
    </w:pPr>
    <w:rPr>
      <w:rFonts w:cstheme="majorBidi" w:eastAsiaTheme="majorEastAsia" w:ascii="Times New Roman" w:hAnsi="Times New Roman" w:eastAsia="Noto Serif CJK SC"/>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60" w:line="380" w:lineRule="exact"/>
      <w:outlineLvl w:val="8"/>
    </w:pPr>
    <w:rPr>
      <w:rFonts w:cstheme="majorBidi" w:eastAsiaTheme="majorEastAsia" w:ascii="Times New Roman" w:hAnsi="Times New Roman" w:eastAsia="Noto Serif CJK SC"/>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60" w:before="100" w:line="380" w:lineRule="exact"/>
      <w:ind w:firstLine="0" w:left="480" w:right="480"/>
    </w:pPr>
    <w:rPr>
      <w:rFonts w:ascii="Times New Roman" w:hAnsi="Times New Roman" w:eastAsia="Noto Serif CJK SC"/>
      <w:color w:val="000000"/>
      <w:sz w:val="24"/>
    </w:rPr>
  </w:style>
  <w:style w:styleId="FootnoteText" w:type="paragraph">
    <w:name w:val="Footnote Text"/>
    <w:basedOn w:val="Normal"/>
    <w:next w:val="FootnoteText"/>
    <w:uiPriority w:val="9"/>
    <w:unhideWhenUsed/>
    <w:qFormat/>
    <w:pPr>
      <w:spacing w:after="60" w:line="380" w:lineRule="exact"/>
    </w:pPr>
    <w:rPr>
      <w:rFonts w:ascii="Times New Roman" w:hAnsi="Times New Roman" w:eastAsia="Noto Serif CJK SC"/>
      <w:color w:val="000000"/>
      <w:sz w:val="24"/>
    </w:rPr>
  </w:style>
  <w:style w:styleId="FootnoteBlockText" w:type="paragraph">
    <w:name w:val="Footnote Block Text"/>
    <w:basedOn w:val="FootnoteText"/>
    <w:next w:val="FootnoteText"/>
    <w:uiPriority w:val="9"/>
    <w:unhideWhenUsed/>
    <w:qFormat/>
    <w:pPr>
      <w:spacing w:after="60" w:before="100" w:line="380" w:lineRule="exact"/>
      <w:ind w:firstLine="0" w:left="480" w:right="480"/>
    </w:pPr>
    <w:rPr>
      <w:rFonts w:ascii="Times New Roman" w:hAnsi="Times New Roman" w:eastAsia="Noto Serif CJK SC"/>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60" w:line="380" w:lineRule="exact"/>
    </w:pPr>
    <w:rPr>
      <w:rFonts w:ascii="Times New Roman" w:hAnsi="Times New Roman" w:eastAsia="Noto Serif CJK SC"/>
      <w:b/>
      <w:color w:val="000000"/>
      <w:sz w:val="24"/>
    </w:rPr>
  </w:style>
  <w:style w:customStyle="1" w:styleId="Definition" w:type="paragraph">
    <w:name w:val="Definition"/>
    <w:basedOn w:val="Normal"/>
    <w:pPr>
      <w:spacing w:after="60" w:line="380" w:lineRule="exact"/>
    </w:pPr>
    <w:rPr>
      <w:rFonts w:ascii="Times New Roman" w:hAnsi="Times New Roman" w:eastAsia="Noto Serif CJK SC"/>
      <w:color w:val="000000"/>
      <w:sz w:val="24"/>
    </w:rPr>
  </w:style>
  <w:style w:styleId="Caption" w:type="paragraph">
    <w:name w:val="Caption"/>
    <w:basedOn w:val="Normal"/>
    <w:link w:val="BodyTextChar"/>
    <w:pPr>
      <w:spacing w:after="60" w:before="0" w:line="380" w:lineRule="exact"/>
    </w:pPr>
    <w:rPr>
      <w:rFonts w:ascii="Times New Roman" w:hAnsi="Times New Roman" w:eastAsia="Noto Serif CJK SC"/>
      <w:i/>
      <w:color w:val="000000"/>
      <w:sz w:val="24"/>
    </w:rPr>
  </w:style>
  <w:style w:customStyle="1" w:styleId="TableCaption" w:type="paragraph">
    <w:name w:val="Table Caption"/>
    <w:basedOn w:val="Caption"/>
    <w:pPr>
      <w:keepNext/>
      <w:spacing w:after="60" w:line="380" w:lineRule="exact"/>
    </w:pPr>
    <w:rPr>
      <w:rFonts w:ascii="Times New Roman" w:hAnsi="Times New Roman" w:eastAsia="Noto Serif CJK SC"/>
      <w:color w:val="000000"/>
      <w:sz w:val="24"/>
    </w:rPr>
  </w:style>
  <w:style w:customStyle="1" w:styleId="ImageCaption" w:type="paragraph">
    <w:name w:val="Image Caption"/>
    <w:basedOn w:val="Caption"/>
    <w:pPr>
      <w:spacing w:after="60" w:line="380" w:lineRule="exact"/>
    </w:pPr>
    <w:rPr>
      <w:rFonts w:ascii="Times New Roman" w:hAnsi="Times New Roman" w:eastAsia="Noto Serif CJK SC"/>
      <w:color w:val="000000"/>
      <w:sz w:val="24"/>
    </w:rPr>
  </w:style>
  <w:style w:customStyle="1" w:styleId="Figure" w:type="paragraph">
    <w:name w:val="Figure"/>
    <w:basedOn w:val="Normal"/>
    <w:pPr>
      <w:spacing w:after="60" w:line="380" w:lineRule="exact"/>
    </w:pPr>
    <w:rPr>
      <w:rFonts w:ascii="Times New Roman" w:hAnsi="Times New Roman" w:eastAsia="Noto Serif CJK SC"/>
      <w:color w:val="000000"/>
      <w:sz w:val="24"/>
    </w:rPr>
  </w:style>
  <w:style w:customStyle="1" w:styleId="CaptionedFigure" w:type="paragraph">
    <w:name w:val="Captioned Figure"/>
    <w:basedOn w:val="Figure"/>
    <w:pPr>
      <w:keepNext/>
      <w:spacing w:after="60" w:line="380" w:lineRule="exact"/>
    </w:pPr>
    <w:rPr>
      <w:rFonts w:ascii="Times New Roman" w:hAnsi="Times New Roman" w:eastAsia="Noto Serif CJK SC"/>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80" w:lineRule="exact" w:after="60"/>
      <w:outlineLvl w:val="9"/>
    </w:pPr>
    <w:rPr>
      <w:rFonts w:asciiTheme="majorHAnsi" w:cstheme="majorBidi" w:eastAsiaTheme="majorEastAsia" w:hAnsiTheme="majorHAnsi" w:ascii="Times New Roman" w:hAnsi="Times New Roman" w:eastAsia="Noto Serif CJK SC"/>
      <w:b w:val="0"/>
      <w:bCs w:val="0"/>
      <w:color w:val="000000"/>
      <w:sz w:val="24"/>
    </w:rPr>
  </w:style>
  <w:style w:type="paragraph" w:customStyle="1" w:styleId="SourceCode">
    <w:name w:val="Source Code"/>
    <w:basedOn w:val="Normal"/>
    <w:link w:val="VerbatimChar"/>
    <w:pPr>
      <w:wordWrap w:val="off"/>
      <w:spacing w:after="60" w:line="380" w:lineRule="exact"/>
    </w:pPr>
    <w:rPr>
      <w:rFonts w:ascii="Times New Roman" w:hAnsi="Times New Roman" w:eastAsia="Noto Serif CJK SC"/>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png"/><Relationship Id="rId19" Type="http://schemas.openxmlformats.org/officeDocument/2006/relationships/hyperlink" Target="https://doi.org/10.1007/s11044-020-09770-w" TargetMode="External"/><Relationship Id="rId20" Type="http://schemas.openxmlformats.org/officeDocument/2006/relationships/hyperlink" Target="https://doi.org/10.1016/j.asr.2024.07.067" TargetMode="External"/><Relationship Id="rId22" Type="http://schemas.openxmlformats.org/officeDocument/2006/relationships/hyperlink" Target="https://doi.org/10.1109/70.817666" TargetMode="External"/><Relationship Id="rId25" Type="http://schemas.openxmlformats.org/officeDocument/2006/relationships/hyperlink" Target="https://doi.org/10.1109/TMECH.2024.3412275" TargetMode="External"/><Relationship Id="rId21" Type="http://schemas.openxmlformats.org/officeDocument/2006/relationships/hyperlink" Target="https://doi.org/10.1109/TRO.2025.3619066" TargetMode="External"/><Relationship Id="rId26" Type="http://schemas.openxmlformats.org/officeDocument/2006/relationships/hyperlink" Target="https://doi.org/10.1146/annurev-control-042920-020211" TargetMode="External"/><Relationship Id="rId28" Type="http://schemas.openxmlformats.org/officeDocument/2006/relationships/hyperlink" Target="https://doi.org/10.1360/SSPMA-2024-0302" TargetMode="External"/><Relationship Id="rId18" Type="http://schemas.openxmlformats.org/officeDocument/2006/relationships/hyperlink" Target="https://doi.org/10.3389/frobt.2021.686723" TargetMode="External"/><Relationship Id="rId23" Type="http://schemas.openxmlformats.org/officeDocument/2006/relationships/hyperlink" Target="https://doi.org/10.3389/frspt.2024.1447545" TargetMode="External"/><Relationship Id="rId24" Type="http://schemas.openxmlformats.org/officeDocument/2006/relationships/hyperlink" Target="https://doi.org/10.48550/arXiv.1812.03201" TargetMode="External"/><Relationship Id="rId27" Type="http://schemas.openxmlformats.org/officeDocument/2006/relationships/hyperlink" Target="https://doi.org/10.6052/0459-1879-23-458" TargetMode="External"/><Relationship Id="rId17" Type="http://schemas.openxmlformats.org/officeDocument/2006/relationships/hyperlink" Target="https://doi.org/10.6052/1000-0992-23-041" TargetMode="External"/><Relationship Id="rId16" Type="http://schemas.openxmlformats.org/officeDocument/2006/relationships/hyperlink" Target="https://doi.org/10.6052/1000-0992-24-04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9" Type="http://schemas.openxmlformats.org/officeDocument/2006/relationships/hyperlink" Target="https://doi.org/10.1007/s11044-020-09770-w" TargetMode="External"/><Relationship Id="rId20" Type="http://schemas.openxmlformats.org/officeDocument/2006/relationships/hyperlink" Target="https://doi.org/10.1016/j.asr.2024.07.067" TargetMode="External"/><Relationship Id="rId22" Type="http://schemas.openxmlformats.org/officeDocument/2006/relationships/hyperlink" Target="https://doi.org/10.1109/70.817666" TargetMode="External"/><Relationship Id="rId25" Type="http://schemas.openxmlformats.org/officeDocument/2006/relationships/hyperlink" Target="https://doi.org/10.1109/TMECH.2024.3412275" TargetMode="External"/><Relationship Id="rId21" Type="http://schemas.openxmlformats.org/officeDocument/2006/relationships/hyperlink" Target="https://doi.org/10.1109/TRO.2025.3619066" TargetMode="External"/><Relationship Id="rId26" Type="http://schemas.openxmlformats.org/officeDocument/2006/relationships/hyperlink" Target="https://doi.org/10.1146/annurev-control-042920-020211" TargetMode="External"/><Relationship Id="rId28" Type="http://schemas.openxmlformats.org/officeDocument/2006/relationships/hyperlink" Target="https://doi.org/10.1360/SSPMA-2024-0302" TargetMode="External"/><Relationship Id="rId18" Type="http://schemas.openxmlformats.org/officeDocument/2006/relationships/hyperlink" Target="https://doi.org/10.3389/frobt.2021.686723" TargetMode="External"/><Relationship Id="rId23" Type="http://schemas.openxmlformats.org/officeDocument/2006/relationships/hyperlink" Target="https://doi.org/10.3389/frspt.2024.1447545" TargetMode="External"/><Relationship Id="rId24" Type="http://schemas.openxmlformats.org/officeDocument/2006/relationships/hyperlink" Target="https://doi.org/10.48550/arXiv.1812.03201" TargetMode="External"/><Relationship Id="rId27" Type="http://schemas.openxmlformats.org/officeDocument/2006/relationships/hyperlink" Target="https://doi.org/10.6052/0459-1879-23-458" TargetMode="External"/><Relationship Id="rId17" Type="http://schemas.openxmlformats.org/officeDocument/2006/relationships/hyperlink" Target="https://doi.org/10.6052/1000-0992-23-041" TargetMode="External"/><Relationship Id="rId16" Type="http://schemas.openxmlformats.org/officeDocument/2006/relationships/hyperlink" Target="https://doi.org/10.6052/1000-0992-24-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2026-09-15T15:03:35Z</dcterms:created>
  <dcterms:modified xsi:type="dcterms:W3CDTF">2026-09-15T15:03:35Z</dcterms:modified>
</cp:coreProperties>
</file>

<file path=docProps/custom.xml><?xml version="1.0" encoding="utf-8"?>
<Properties xmlns="http://schemas.openxmlformats.org/officeDocument/2006/custom-properties" xmlns:vt="http://schemas.openxmlformats.org/officeDocument/2006/docPropsVTypes"/>
</file>