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Bdr>
          <w:bottom w:val="double" w:color="auto" w:sz="8" w:space="1"/>
        </w:pBdr>
        <w:jc w:val="center"/>
        <w:rPr>
          <w:rFonts w:hint="eastAsia" w:ascii="宋体" w:hAnsi="宋体" w:eastAsia="宋体" w:cs="宋体"/>
          <w:b/>
          <w:bCs/>
          <w:sz w:val="28"/>
          <w:szCs w:val="32"/>
          <w:lang w:val="en-US" w:eastAsia="zh-CN"/>
        </w:rPr>
      </w:pPr>
    </w:p>
    <w:p>
      <w:pPr>
        <w:pStyle w:val="9"/>
        <w:pBdr>
          <w:bottom w:val="double" w:color="auto" w:sz="8" w:space="1"/>
        </w:pBdr>
        <w:jc w:val="center"/>
        <w:rPr>
          <w:rFonts w:hint="eastAsia" w:ascii="楷体" w:hAnsi="楷体" w:eastAsia="楷体" w:cs="楷体"/>
          <w:sz w:val="28"/>
          <w:szCs w:val="32"/>
          <w:lang w:val="en-US" w:eastAsia="zh-CN"/>
        </w:rPr>
      </w:pPr>
      <w:r>
        <w:rPr>
          <w:rFonts w:hint="eastAsia" w:ascii="宋体" w:hAnsi="宋体" w:eastAsia="宋体" w:cs="宋体"/>
          <w:b/>
          <w:bCs/>
          <w:sz w:val="28"/>
          <w:szCs w:val="32"/>
          <w:lang w:val="en-US" w:eastAsia="zh-CN"/>
        </w:rPr>
        <w:t>关于新时代青年的成长成才的研究</w:t>
      </w:r>
    </w:p>
    <w:sdt>
      <w:sdtPr>
        <w:rPr>
          <w:rFonts w:ascii="宋体" w:hAnsi="宋体" w:eastAsia="宋体" w:cs="宋体"/>
          <w:kern w:val="2"/>
          <w:sz w:val="21"/>
          <w:szCs w:val="24"/>
          <w:lang w:val="en-US" w:eastAsia="zh-CN" w:bidi="ar-SA"/>
        </w:rPr>
        <w:id w:val="147452181"/>
        <w:docPartObj>
          <w:docPartGallery w:val="Table of Contents"/>
          <w:docPartUnique/>
        </w:docPartObj>
      </w:sdtPr>
      <w:sdtEndPr>
        <w:rPr>
          <w:rFonts w:ascii="黑体" w:hAnsi="黑体" w:eastAsia="黑体" w:cs="黑体"/>
          <w:b/>
          <w:bCs/>
          <w:sz w:val="56"/>
          <w:szCs w:val="56"/>
        </w:rPr>
      </w:sdtEndPr>
      <w:sdtContent>
        <w:p>
          <w:pPr>
            <w:spacing w:before="0" w:beforeLines="0" w:after="0" w:afterLines="0" w:line="240" w:lineRule="auto"/>
            <w:ind w:left="0" w:leftChars="0" w:right="0" w:rightChars="0" w:firstLine="0" w:firstLineChars="0"/>
            <w:jc w:val="center"/>
            <w:rPr>
              <w:rFonts w:ascii="宋体" w:hAnsi="宋体" w:eastAsia="宋体" w:cs="宋体"/>
              <w:kern w:val="2"/>
              <w:sz w:val="21"/>
              <w:szCs w:val="24"/>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cs="宋体"/>
              <w:kern w:val="2"/>
              <w:sz w:val="28"/>
              <w:szCs w:val="36"/>
              <w:lang w:val="en-US" w:eastAsia="zh-CN" w:bidi="ar-SA"/>
            </w:rPr>
          </w:pPr>
          <w:r>
            <w:rPr>
              <w:rFonts w:hint="eastAsia" w:ascii="宋体" w:hAnsi="宋体" w:cs="宋体"/>
              <w:kern w:val="2"/>
              <w:sz w:val="28"/>
              <w:szCs w:val="36"/>
              <w:lang w:val="en-US" w:eastAsia="zh-CN" w:bidi="ar-SA"/>
            </w:rPr>
            <w:t>目录</w:t>
          </w:r>
          <w:bookmarkStart w:id="74" w:name="_GoBack"/>
          <w:bookmarkEnd w:id="74"/>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b/>
              <w:sz w:val="36"/>
              <w:szCs w:val="28"/>
            </w:rPr>
            <w:fldChar w:fldCharType="begin"/>
          </w:r>
          <w:r>
            <w:rPr>
              <w:rFonts w:ascii="黑体" w:hAnsi="黑体" w:eastAsia="黑体" w:cs="黑体"/>
              <w:b/>
              <w:sz w:val="36"/>
              <w:szCs w:val="28"/>
            </w:rPr>
            <w:instrText xml:space="preserve">TOC \o "1-3" \h \u </w:instrText>
          </w:r>
          <w:r>
            <w:rPr>
              <w:rFonts w:ascii="黑体" w:hAnsi="黑体" w:eastAsia="黑体" w:cs="黑体"/>
              <w:b/>
              <w:sz w:val="36"/>
              <w:szCs w:val="28"/>
            </w:rPr>
            <w:fldChar w:fldCharType="separate"/>
          </w:r>
          <w:r>
            <w:rPr>
              <w:rFonts w:ascii="黑体" w:hAnsi="黑体" w:eastAsia="黑体" w:cs="黑体"/>
              <w:sz w:val="22"/>
              <w:szCs w:val="28"/>
            </w:rPr>
            <w:fldChar w:fldCharType="begin"/>
          </w:r>
          <w:r>
            <w:rPr>
              <w:rFonts w:ascii="黑体" w:hAnsi="黑体" w:eastAsia="黑体" w:cs="黑体"/>
              <w:sz w:val="22"/>
              <w:szCs w:val="28"/>
            </w:rPr>
            <w:instrText xml:space="preserve"> HYPERLINK \l _Toc22024 </w:instrText>
          </w:r>
          <w:r>
            <w:rPr>
              <w:rFonts w:ascii="黑体" w:hAnsi="黑体" w:eastAsia="黑体" w:cs="黑体"/>
              <w:sz w:val="22"/>
              <w:szCs w:val="28"/>
            </w:rPr>
            <w:fldChar w:fldCharType="separate"/>
          </w:r>
          <w:r>
            <w:rPr>
              <w:rFonts w:hint="eastAsia" w:ascii="宋体" w:hAnsi="宋体" w:eastAsia="宋体" w:cs="宋体"/>
              <w:sz w:val="22"/>
              <w:szCs w:val="28"/>
            </w:rPr>
            <w:t xml:space="preserve">一. </w:t>
          </w:r>
          <w:r>
            <w:rPr>
              <w:sz w:val="22"/>
              <w:szCs w:val="28"/>
            </w:rPr>
            <w:t>新时代青年成长成才的意义</w:t>
          </w:r>
          <w:r>
            <w:rPr>
              <w:sz w:val="22"/>
              <w:szCs w:val="28"/>
            </w:rPr>
            <w:tab/>
          </w:r>
          <w:r>
            <w:rPr>
              <w:sz w:val="22"/>
              <w:szCs w:val="28"/>
            </w:rPr>
            <w:fldChar w:fldCharType="begin"/>
          </w:r>
          <w:r>
            <w:rPr>
              <w:sz w:val="22"/>
              <w:szCs w:val="28"/>
            </w:rPr>
            <w:instrText xml:space="preserve"> PAGEREF _Toc22024 </w:instrText>
          </w:r>
          <w:r>
            <w:rPr>
              <w:sz w:val="22"/>
              <w:szCs w:val="28"/>
            </w:rPr>
            <w:fldChar w:fldCharType="separate"/>
          </w:r>
          <w:r>
            <w:rPr>
              <w:sz w:val="22"/>
              <w:szCs w:val="28"/>
            </w:rPr>
            <w:t>2</w:t>
          </w:r>
          <w:r>
            <w:rPr>
              <w:sz w:val="22"/>
              <w:szCs w:val="28"/>
            </w:rPr>
            <w:fldChar w:fldCharType="end"/>
          </w:r>
          <w:r>
            <w:rPr>
              <w:rFonts w:ascii="黑体" w:hAnsi="黑体" w:eastAsia="黑体" w:cs="黑体"/>
              <w:sz w:val="22"/>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_Toc22371 </w:instrText>
          </w:r>
          <w:r>
            <w:rPr>
              <w:rFonts w:ascii="黑体" w:hAnsi="黑体" w:eastAsia="黑体" w:cs="黑体"/>
              <w:sz w:val="22"/>
              <w:szCs w:val="28"/>
            </w:rPr>
            <w:fldChar w:fldCharType="separate"/>
          </w:r>
          <w:r>
            <w:rPr>
              <w:rFonts w:hint="eastAsia" w:ascii="宋体" w:hAnsi="宋体" w:eastAsia="宋体" w:cs="宋体"/>
              <w:sz w:val="22"/>
              <w:szCs w:val="28"/>
            </w:rPr>
            <w:t xml:space="preserve">二. </w:t>
          </w:r>
          <w:r>
            <w:rPr>
              <w:sz w:val="22"/>
              <w:szCs w:val="28"/>
            </w:rPr>
            <w:t>新时代青年如何成长成才</w:t>
          </w:r>
          <w:r>
            <w:rPr>
              <w:sz w:val="22"/>
              <w:szCs w:val="28"/>
            </w:rPr>
            <w:tab/>
          </w:r>
          <w:r>
            <w:rPr>
              <w:sz w:val="22"/>
              <w:szCs w:val="28"/>
            </w:rPr>
            <w:fldChar w:fldCharType="begin"/>
          </w:r>
          <w:r>
            <w:rPr>
              <w:sz w:val="22"/>
              <w:szCs w:val="28"/>
            </w:rPr>
            <w:instrText xml:space="preserve"> PAGEREF _Toc22371 </w:instrText>
          </w:r>
          <w:r>
            <w:rPr>
              <w:sz w:val="22"/>
              <w:szCs w:val="28"/>
            </w:rPr>
            <w:fldChar w:fldCharType="separate"/>
          </w:r>
          <w:r>
            <w:rPr>
              <w:sz w:val="22"/>
              <w:szCs w:val="28"/>
            </w:rPr>
            <w:t>3</w:t>
          </w:r>
          <w:r>
            <w:rPr>
              <w:sz w:val="22"/>
              <w:szCs w:val="28"/>
            </w:rPr>
            <w:fldChar w:fldCharType="end"/>
          </w:r>
          <w:r>
            <w:rPr>
              <w:rFonts w:ascii="黑体" w:hAnsi="黑体" w:eastAsia="黑体" w:cs="黑体"/>
              <w:sz w:val="22"/>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_Toc25065 </w:instrText>
          </w:r>
          <w:r>
            <w:rPr>
              <w:rFonts w:ascii="黑体" w:hAnsi="黑体" w:eastAsia="黑体" w:cs="黑体"/>
              <w:sz w:val="22"/>
              <w:szCs w:val="28"/>
            </w:rPr>
            <w:fldChar w:fldCharType="separate"/>
          </w:r>
          <w:r>
            <w:rPr>
              <w:rFonts w:hint="eastAsia" w:ascii="宋体" w:hAnsi="宋体" w:eastAsia="宋体" w:cs="宋体"/>
              <w:sz w:val="22"/>
              <w:szCs w:val="28"/>
            </w:rPr>
            <w:t xml:space="preserve">1. </w:t>
          </w:r>
          <w:r>
            <w:rPr>
              <w:sz w:val="22"/>
              <w:szCs w:val="28"/>
            </w:rPr>
            <w:t>新时代青年成长成才需具备的基本品质</w:t>
          </w:r>
          <w:r>
            <w:rPr>
              <w:sz w:val="22"/>
              <w:szCs w:val="28"/>
            </w:rPr>
            <w:tab/>
          </w:r>
          <w:r>
            <w:rPr>
              <w:sz w:val="22"/>
              <w:szCs w:val="28"/>
            </w:rPr>
            <w:fldChar w:fldCharType="begin"/>
          </w:r>
          <w:r>
            <w:rPr>
              <w:sz w:val="22"/>
              <w:szCs w:val="28"/>
            </w:rPr>
            <w:instrText xml:space="preserve"> PAGEREF _Toc25065 </w:instrText>
          </w:r>
          <w:r>
            <w:rPr>
              <w:sz w:val="22"/>
              <w:szCs w:val="28"/>
            </w:rPr>
            <w:fldChar w:fldCharType="separate"/>
          </w:r>
          <w:r>
            <w:rPr>
              <w:sz w:val="22"/>
              <w:szCs w:val="28"/>
            </w:rPr>
            <w:t>3</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_Toc10947 </w:instrText>
          </w:r>
          <w:r>
            <w:rPr>
              <w:rFonts w:ascii="黑体" w:hAnsi="黑体" w:eastAsia="黑体" w:cs="黑体"/>
              <w:sz w:val="22"/>
              <w:szCs w:val="28"/>
            </w:rPr>
            <w:fldChar w:fldCharType="separate"/>
          </w:r>
          <w:r>
            <w:rPr>
              <w:rFonts w:hint="eastAsia" w:ascii="宋体" w:hAnsi="宋体" w:eastAsia="宋体" w:cs="宋体"/>
              <w:sz w:val="22"/>
              <w:szCs w:val="28"/>
            </w:rPr>
            <w:t xml:space="preserve">1.1. </w:t>
          </w:r>
          <w:r>
            <w:rPr>
              <w:sz w:val="22"/>
              <w:szCs w:val="28"/>
            </w:rPr>
            <w:t>坚定的信念</w:t>
          </w:r>
          <w:r>
            <w:rPr>
              <w:sz w:val="22"/>
              <w:szCs w:val="28"/>
            </w:rPr>
            <w:tab/>
          </w:r>
          <w:r>
            <w:rPr>
              <w:sz w:val="22"/>
              <w:szCs w:val="28"/>
            </w:rPr>
            <w:fldChar w:fldCharType="begin"/>
          </w:r>
          <w:r>
            <w:rPr>
              <w:sz w:val="22"/>
              <w:szCs w:val="28"/>
            </w:rPr>
            <w:instrText xml:space="preserve"> PAGEREF _Toc10947 </w:instrText>
          </w:r>
          <w:r>
            <w:rPr>
              <w:sz w:val="22"/>
              <w:szCs w:val="28"/>
            </w:rPr>
            <w:fldChar w:fldCharType="separate"/>
          </w:r>
          <w:r>
            <w:rPr>
              <w:sz w:val="22"/>
              <w:szCs w:val="28"/>
            </w:rPr>
            <w:t>3</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_Toc6759 </w:instrText>
          </w:r>
          <w:r>
            <w:rPr>
              <w:rFonts w:ascii="黑体" w:hAnsi="黑体" w:eastAsia="黑体" w:cs="黑体"/>
              <w:sz w:val="22"/>
              <w:szCs w:val="28"/>
            </w:rPr>
            <w:fldChar w:fldCharType="separate"/>
          </w:r>
          <w:r>
            <w:rPr>
              <w:rFonts w:hint="eastAsia" w:ascii="宋体" w:hAnsi="宋体" w:eastAsia="宋体" w:cs="宋体"/>
              <w:sz w:val="22"/>
              <w:szCs w:val="24"/>
            </w:rPr>
            <w:t xml:space="preserve">1.2. </w:t>
          </w:r>
          <w:r>
            <w:rPr>
              <w:sz w:val="22"/>
              <w:szCs w:val="24"/>
            </w:rPr>
            <w:t>坚韧不拔的精神</w:t>
          </w:r>
          <w:r>
            <w:rPr>
              <w:sz w:val="22"/>
              <w:szCs w:val="28"/>
            </w:rPr>
            <w:tab/>
          </w:r>
          <w:r>
            <w:rPr>
              <w:sz w:val="22"/>
              <w:szCs w:val="28"/>
            </w:rPr>
            <w:fldChar w:fldCharType="begin"/>
          </w:r>
          <w:r>
            <w:rPr>
              <w:sz w:val="22"/>
              <w:szCs w:val="28"/>
            </w:rPr>
            <w:instrText xml:space="preserve"> PAGEREF _Toc6759 </w:instrText>
          </w:r>
          <w:r>
            <w:rPr>
              <w:sz w:val="22"/>
              <w:szCs w:val="28"/>
            </w:rPr>
            <w:fldChar w:fldCharType="separate"/>
          </w:r>
          <w:r>
            <w:rPr>
              <w:sz w:val="22"/>
              <w:szCs w:val="28"/>
            </w:rPr>
            <w:t>3</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_Toc8852 </w:instrText>
          </w:r>
          <w:r>
            <w:rPr>
              <w:rFonts w:ascii="黑体" w:hAnsi="黑体" w:eastAsia="黑体" w:cs="黑体"/>
              <w:sz w:val="22"/>
              <w:szCs w:val="28"/>
            </w:rPr>
            <w:fldChar w:fldCharType="separate"/>
          </w:r>
          <w:r>
            <w:rPr>
              <w:rFonts w:hint="eastAsia" w:ascii="宋体" w:hAnsi="宋体" w:eastAsia="宋体" w:cs="宋体"/>
              <w:sz w:val="22"/>
              <w:szCs w:val="24"/>
            </w:rPr>
            <w:t xml:space="preserve">1.3. </w:t>
          </w:r>
          <w:r>
            <w:rPr>
              <w:sz w:val="22"/>
              <w:szCs w:val="24"/>
            </w:rPr>
            <w:t>良好的思想道德</w:t>
          </w:r>
          <w:r>
            <w:rPr>
              <w:sz w:val="22"/>
              <w:szCs w:val="28"/>
            </w:rPr>
            <w:tab/>
          </w:r>
          <w:r>
            <w:rPr>
              <w:sz w:val="22"/>
              <w:szCs w:val="28"/>
            </w:rPr>
            <w:fldChar w:fldCharType="begin"/>
          </w:r>
          <w:r>
            <w:rPr>
              <w:sz w:val="22"/>
              <w:szCs w:val="28"/>
            </w:rPr>
            <w:instrText xml:space="preserve"> PAGEREF _Toc8852 </w:instrText>
          </w:r>
          <w:r>
            <w:rPr>
              <w:sz w:val="22"/>
              <w:szCs w:val="28"/>
            </w:rPr>
            <w:fldChar w:fldCharType="separate"/>
          </w:r>
          <w:r>
            <w:rPr>
              <w:sz w:val="22"/>
              <w:szCs w:val="28"/>
            </w:rPr>
            <w:t>4</w:t>
          </w:r>
          <w:r>
            <w:rPr>
              <w:sz w:val="22"/>
              <w:szCs w:val="28"/>
            </w:rPr>
            <w:fldChar w:fldCharType="end"/>
          </w:r>
          <w:r>
            <w:rPr>
              <w:rFonts w:ascii="黑体" w:hAnsi="黑体" w:eastAsia="黑体" w:cs="黑体"/>
              <w:sz w:val="22"/>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_Toc9133 </w:instrText>
          </w:r>
          <w:r>
            <w:rPr>
              <w:rFonts w:ascii="黑体" w:hAnsi="黑体" w:eastAsia="黑体" w:cs="黑体"/>
              <w:sz w:val="22"/>
              <w:szCs w:val="28"/>
            </w:rPr>
            <w:fldChar w:fldCharType="separate"/>
          </w:r>
          <w:r>
            <w:rPr>
              <w:rFonts w:hint="eastAsia" w:ascii="宋体" w:hAnsi="宋体" w:eastAsia="宋体" w:cs="宋体"/>
              <w:sz w:val="22"/>
              <w:szCs w:val="28"/>
            </w:rPr>
            <w:t xml:space="preserve">2. </w:t>
          </w:r>
          <w:r>
            <w:rPr>
              <w:sz w:val="22"/>
              <w:szCs w:val="28"/>
            </w:rPr>
            <w:t>新时代青年成长成才需具备的基本素质</w:t>
          </w:r>
          <w:r>
            <w:rPr>
              <w:sz w:val="22"/>
              <w:szCs w:val="28"/>
            </w:rPr>
            <w:tab/>
          </w:r>
          <w:r>
            <w:rPr>
              <w:sz w:val="22"/>
              <w:szCs w:val="28"/>
            </w:rPr>
            <w:fldChar w:fldCharType="begin"/>
          </w:r>
          <w:r>
            <w:rPr>
              <w:sz w:val="22"/>
              <w:szCs w:val="28"/>
            </w:rPr>
            <w:instrText xml:space="preserve"> PAGEREF _Toc9133 </w:instrText>
          </w:r>
          <w:r>
            <w:rPr>
              <w:sz w:val="22"/>
              <w:szCs w:val="28"/>
            </w:rPr>
            <w:fldChar w:fldCharType="separate"/>
          </w:r>
          <w:r>
            <w:rPr>
              <w:sz w:val="22"/>
              <w:szCs w:val="28"/>
            </w:rPr>
            <w:t>4</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_Toc14006 </w:instrText>
          </w:r>
          <w:r>
            <w:rPr>
              <w:rFonts w:ascii="黑体" w:hAnsi="黑体" w:eastAsia="黑体" w:cs="黑体"/>
              <w:sz w:val="22"/>
              <w:szCs w:val="28"/>
            </w:rPr>
            <w:fldChar w:fldCharType="separate"/>
          </w:r>
          <w:r>
            <w:rPr>
              <w:rFonts w:hint="eastAsia" w:ascii="宋体" w:hAnsi="宋体" w:eastAsia="宋体" w:cs="宋体"/>
              <w:sz w:val="22"/>
              <w:szCs w:val="28"/>
            </w:rPr>
            <w:t xml:space="preserve">2.1. </w:t>
          </w:r>
          <w:r>
            <w:rPr>
              <w:sz w:val="22"/>
              <w:szCs w:val="28"/>
            </w:rPr>
            <w:t>人际交往能力</w:t>
          </w:r>
          <w:r>
            <w:rPr>
              <w:sz w:val="22"/>
              <w:szCs w:val="28"/>
            </w:rPr>
            <w:tab/>
          </w:r>
          <w:r>
            <w:rPr>
              <w:sz w:val="22"/>
              <w:szCs w:val="28"/>
            </w:rPr>
            <w:fldChar w:fldCharType="begin"/>
          </w:r>
          <w:r>
            <w:rPr>
              <w:sz w:val="22"/>
              <w:szCs w:val="28"/>
            </w:rPr>
            <w:instrText xml:space="preserve"> PAGEREF _Toc14006 </w:instrText>
          </w:r>
          <w:r>
            <w:rPr>
              <w:sz w:val="22"/>
              <w:szCs w:val="28"/>
            </w:rPr>
            <w:fldChar w:fldCharType="separate"/>
          </w:r>
          <w:r>
            <w:rPr>
              <w:sz w:val="22"/>
              <w:szCs w:val="28"/>
            </w:rPr>
            <w:t>4</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_Toc20752 </w:instrText>
          </w:r>
          <w:r>
            <w:rPr>
              <w:rFonts w:ascii="黑体" w:hAnsi="黑体" w:eastAsia="黑体" w:cs="黑体"/>
              <w:sz w:val="22"/>
              <w:szCs w:val="28"/>
            </w:rPr>
            <w:fldChar w:fldCharType="separate"/>
          </w:r>
          <w:r>
            <w:rPr>
              <w:rFonts w:hint="eastAsia" w:ascii="宋体" w:hAnsi="宋体" w:eastAsia="宋体" w:cs="宋体"/>
              <w:sz w:val="22"/>
              <w:szCs w:val="24"/>
            </w:rPr>
            <w:t xml:space="preserve">2.2. </w:t>
          </w:r>
          <w:r>
            <w:rPr>
              <w:sz w:val="22"/>
              <w:szCs w:val="24"/>
            </w:rPr>
            <w:t>适应能力</w:t>
          </w:r>
          <w:r>
            <w:rPr>
              <w:sz w:val="22"/>
              <w:szCs w:val="28"/>
            </w:rPr>
            <w:tab/>
          </w:r>
          <w:r>
            <w:rPr>
              <w:sz w:val="22"/>
              <w:szCs w:val="28"/>
            </w:rPr>
            <w:fldChar w:fldCharType="begin"/>
          </w:r>
          <w:r>
            <w:rPr>
              <w:sz w:val="22"/>
              <w:szCs w:val="28"/>
            </w:rPr>
            <w:instrText xml:space="preserve"> PAGEREF _Toc20752 </w:instrText>
          </w:r>
          <w:r>
            <w:rPr>
              <w:sz w:val="22"/>
              <w:szCs w:val="28"/>
            </w:rPr>
            <w:fldChar w:fldCharType="separate"/>
          </w:r>
          <w:r>
            <w:rPr>
              <w:sz w:val="22"/>
              <w:szCs w:val="28"/>
            </w:rPr>
            <w:t>5</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_Toc1100 </w:instrText>
          </w:r>
          <w:r>
            <w:rPr>
              <w:rFonts w:ascii="黑体" w:hAnsi="黑体" w:eastAsia="黑体" w:cs="黑体"/>
              <w:sz w:val="22"/>
              <w:szCs w:val="28"/>
            </w:rPr>
            <w:fldChar w:fldCharType="separate"/>
          </w:r>
          <w:r>
            <w:rPr>
              <w:rFonts w:hint="eastAsia" w:ascii="宋体" w:hAnsi="宋体" w:eastAsia="宋体" w:cs="宋体"/>
              <w:sz w:val="22"/>
              <w:szCs w:val="24"/>
            </w:rPr>
            <w:t xml:space="preserve">2.3. </w:t>
          </w:r>
          <w:r>
            <w:rPr>
              <w:sz w:val="22"/>
              <w:szCs w:val="24"/>
            </w:rPr>
            <w:t>个人整体能力</w:t>
          </w:r>
          <w:r>
            <w:rPr>
              <w:sz w:val="22"/>
              <w:szCs w:val="28"/>
            </w:rPr>
            <w:tab/>
          </w:r>
          <w:r>
            <w:rPr>
              <w:sz w:val="22"/>
              <w:szCs w:val="28"/>
            </w:rPr>
            <w:fldChar w:fldCharType="begin"/>
          </w:r>
          <w:r>
            <w:rPr>
              <w:sz w:val="22"/>
              <w:szCs w:val="28"/>
            </w:rPr>
            <w:instrText xml:space="preserve"> PAGEREF _Toc1100 </w:instrText>
          </w:r>
          <w:r>
            <w:rPr>
              <w:sz w:val="22"/>
              <w:szCs w:val="28"/>
            </w:rPr>
            <w:fldChar w:fldCharType="separate"/>
          </w:r>
          <w:r>
            <w:rPr>
              <w:sz w:val="22"/>
              <w:szCs w:val="28"/>
            </w:rPr>
            <w:t>5</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_Toc11693 </w:instrText>
          </w:r>
          <w:r>
            <w:rPr>
              <w:rFonts w:ascii="黑体" w:hAnsi="黑体" w:eastAsia="黑体" w:cs="黑体"/>
              <w:sz w:val="22"/>
              <w:szCs w:val="28"/>
            </w:rPr>
            <w:fldChar w:fldCharType="separate"/>
          </w:r>
          <w:r>
            <w:rPr>
              <w:rFonts w:hint="eastAsia" w:ascii="宋体" w:hAnsi="宋体" w:eastAsia="宋体" w:cs="宋体"/>
              <w:sz w:val="22"/>
              <w:szCs w:val="24"/>
            </w:rPr>
            <w:t xml:space="preserve">2.4. </w:t>
          </w:r>
          <w:r>
            <w:rPr>
              <w:sz w:val="22"/>
              <w:szCs w:val="24"/>
            </w:rPr>
            <w:t>心理调节能力</w:t>
          </w:r>
          <w:r>
            <w:rPr>
              <w:sz w:val="22"/>
              <w:szCs w:val="28"/>
            </w:rPr>
            <w:tab/>
          </w:r>
          <w:r>
            <w:rPr>
              <w:sz w:val="22"/>
              <w:szCs w:val="28"/>
            </w:rPr>
            <w:fldChar w:fldCharType="begin"/>
          </w:r>
          <w:r>
            <w:rPr>
              <w:sz w:val="22"/>
              <w:szCs w:val="28"/>
            </w:rPr>
            <w:instrText xml:space="preserve"> PAGEREF _Toc11693 </w:instrText>
          </w:r>
          <w:r>
            <w:rPr>
              <w:sz w:val="22"/>
              <w:szCs w:val="28"/>
            </w:rPr>
            <w:fldChar w:fldCharType="separate"/>
          </w:r>
          <w:r>
            <w:rPr>
              <w:sz w:val="22"/>
              <w:szCs w:val="28"/>
            </w:rPr>
            <w:t>5</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_Toc19073 </w:instrText>
          </w:r>
          <w:r>
            <w:rPr>
              <w:rFonts w:ascii="黑体" w:hAnsi="黑体" w:eastAsia="黑体" w:cs="黑体"/>
              <w:sz w:val="22"/>
              <w:szCs w:val="28"/>
            </w:rPr>
            <w:fldChar w:fldCharType="separate"/>
          </w:r>
          <w:r>
            <w:rPr>
              <w:rFonts w:hint="eastAsia" w:ascii="宋体" w:hAnsi="宋体" w:eastAsia="宋体" w:cs="宋体"/>
              <w:sz w:val="22"/>
              <w:szCs w:val="24"/>
            </w:rPr>
            <w:t xml:space="preserve">2.5. </w:t>
          </w:r>
          <w:r>
            <w:rPr>
              <w:sz w:val="22"/>
              <w:szCs w:val="24"/>
            </w:rPr>
            <w:t>独立能力</w:t>
          </w:r>
          <w:r>
            <w:rPr>
              <w:sz w:val="22"/>
              <w:szCs w:val="28"/>
            </w:rPr>
            <w:tab/>
          </w:r>
          <w:r>
            <w:rPr>
              <w:sz w:val="22"/>
              <w:szCs w:val="28"/>
            </w:rPr>
            <w:fldChar w:fldCharType="begin"/>
          </w:r>
          <w:r>
            <w:rPr>
              <w:sz w:val="22"/>
              <w:szCs w:val="28"/>
            </w:rPr>
            <w:instrText xml:space="preserve"> PAGEREF _Toc19073 </w:instrText>
          </w:r>
          <w:r>
            <w:rPr>
              <w:sz w:val="22"/>
              <w:szCs w:val="28"/>
            </w:rPr>
            <w:fldChar w:fldCharType="separate"/>
          </w:r>
          <w:r>
            <w:rPr>
              <w:sz w:val="22"/>
              <w:szCs w:val="28"/>
            </w:rPr>
            <w:t>5</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_Toc17038 </w:instrText>
          </w:r>
          <w:r>
            <w:rPr>
              <w:rFonts w:ascii="黑体" w:hAnsi="黑体" w:eastAsia="黑体" w:cs="黑体"/>
              <w:sz w:val="22"/>
              <w:szCs w:val="28"/>
            </w:rPr>
            <w:fldChar w:fldCharType="separate"/>
          </w:r>
          <w:r>
            <w:rPr>
              <w:rFonts w:hint="eastAsia" w:ascii="宋体" w:hAnsi="宋体" w:eastAsia="宋体" w:cs="宋体"/>
              <w:sz w:val="22"/>
              <w:szCs w:val="24"/>
            </w:rPr>
            <w:t xml:space="preserve">2.6. </w:t>
          </w:r>
          <w:r>
            <w:rPr>
              <w:sz w:val="22"/>
              <w:szCs w:val="24"/>
            </w:rPr>
            <w:t>组织管理能力</w:t>
          </w:r>
          <w:r>
            <w:rPr>
              <w:sz w:val="22"/>
              <w:szCs w:val="28"/>
            </w:rPr>
            <w:tab/>
          </w:r>
          <w:r>
            <w:rPr>
              <w:sz w:val="22"/>
              <w:szCs w:val="28"/>
            </w:rPr>
            <w:fldChar w:fldCharType="begin"/>
          </w:r>
          <w:r>
            <w:rPr>
              <w:sz w:val="22"/>
              <w:szCs w:val="28"/>
            </w:rPr>
            <w:instrText xml:space="preserve"> PAGEREF _Toc17038 </w:instrText>
          </w:r>
          <w:r>
            <w:rPr>
              <w:sz w:val="22"/>
              <w:szCs w:val="28"/>
            </w:rPr>
            <w:fldChar w:fldCharType="separate"/>
          </w:r>
          <w:r>
            <w:rPr>
              <w:sz w:val="22"/>
              <w:szCs w:val="28"/>
            </w:rPr>
            <w:t>6</w:t>
          </w:r>
          <w:r>
            <w:rPr>
              <w:sz w:val="22"/>
              <w:szCs w:val="28"/>
            </w:rPr>
            <w:fldChar w:fldCharType="end"/>
          </w:r>
          <w:r>
            <w:rPr>
              <w:rFonts w:ascii="黑体" w:hAnsi="黑体" w:eastAsia="黑体" w:cs="黑体"/>
              <w:sz w:val="22"/>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_Toc25210 </w:instrText>
          </w:r>
          <w:r>
            <w:rPr>
              <w:rFonts w:ascii="黑体" w:hAnsi="黑体" w:eastAsia="黑体" w:cs="黑体"/>
              <w:sz w:val="22"/>
              <w:szCs w:val="28"/>
            </w:rPr>
            <w:fldChar w:fldCharType="separate"/>
          </w:r>
          <w:r>
            <w:rPr>
              <w:rFonts w:hint="eastAsia" w:ascii="宋体" w:hAnsi="宋体" w:eastAsia="宋体" w:cs="宋体"/>
              <w:sz w:val="22"/>
              <w:szCs w:val="28"/>
            </w:rPr>
            <w:t xml:space="preserve">三. </w:t>
          </w:r>
          <w:r>
            <w:rPr>
              <w:sz w:val="22"/>
              <w:szCs w:val="28"/>
            </w:rPr>
            <w:t>青年成长成才的影响因素的探究</w:t>
          </w:r>
          <w:r>
            <w:rPr>
              <w:sz w:val="22"/>
              <w:szCs w:val="28"/>
            </w:rPr>
            <w:tab/>
          </w:r>
          <w:r>
            <w:rPr>
              <w:sz w:val="22"/>
              <w:szCs w:val="28"/>
            </w:rPr>
            <w:fldChar w:fldCharType="begin"/>
          </w:r>
          <w:r>
            <w:rPr>
              <w:sz w:val="22"/>
              <w:szCs w:val="28"/>
            </w:rPr>
            <w:instrText xml:space="preserve"> PAGEREF _Toc25210 </w:instrText>
          </w:r>
          <w:r>
            <w:rPr>
              <w:sz w:val="22"/>
              <w:szCs w:val="28"/>
            </w:rPr>
            <w:fldChar w:fldCharType="separate"/>
          </w:r>
          <w:r>
            <w:rPr>
              <w:sz w:val="22"/>
              <w:szCs w:val="28"/>
            </w:rPr>
            <w:t>6</w:t>
          </w:r>
          <w:r>
            <w:rPr>
              <w:sz w:val="22"/>
              <w:szCs w:val="28"/>
            </w:rPr>
            <w:fldChar w:fldCharType="end"/>
          </w:r>
          <w:r>
            <w:rPr>
              <w:rFonts w:ascii="黑体" w:hAnsi="黑体" w:eastAsia="黑体" w:cs="黑体"/>
              <w:sz w:val="22"/>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_Toc20330 </w:instrText>
          </w:r>
          <w:r>
            <w:rPr>
              <w:rFonts w:ascii="黑体" w:hAnsi="黑体" w:eastAsia="黑体" w:cs="黑体"/>
              <w:sz w:val="22"/>
              <w:szCs w:val="28"/>
            </w:rPr>
            <w:fldChar w:fldCharType="separate"/>
          </w:r>
          <w:r>
            <w:rPr>
              <w:rFonts w:hint="eastAsia" w:ascii="宋体" w:hAnsi="宋体" w:eastAsia="宋体" w:cs="宋体"/>
              <w:sz w:val="22"/>
              <w:szCs w:val="28"/>
            </w:rPr>
            <w:t xml:space="preserve">1. </w:t>
          </w:r>
          <w:r>
            <w:rPr>
              <w:sz w:val="22"/>
              <w:szCs w:val="28"/>
            </w:rPr>
            <w:t>主观因素</w:t>
          </w:r>
          <w:r>
            <w:rPr>
              <w:sz w:val="22"/>
              <w:szCs w:val="28"/>
            </w:rPr>
            <w:tab/>
          </w:r>
          <w:r>
            <w:rPr>
              <w:sz w:val="22"/>
              <w:szCs w:val="28"/>
            </w:rPr>
            <w:fldChar w:fldCharType="begin"/>
          </w:r>
          <w:r>
            <w:rPr>
              <w:sz w:val="22"/>
              <w:szCs w:val="28"/>
            </w:rPr>
            <w:instrText xml:space="preserve"> PAGEREF _Toc20330 </w:instrText>
          </w:r>
          <w:r>
            <w:rPr>
              <w:sz w:val="22"/>
              <w:szCs w:val="28"/>
            </w:rPr>
            <w:fldChar w:fldCharType="separate"/>
          </w:r>
          <w:r>
            <w:rPr>
              <w:sz w:val="22"/>
              <w:szCs w:val="28"/>
            </w:rPr>
            <w:t>6</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_Toc13235 </w:instrText>
          </w:r>
          <w:r>
            <w:rPr>
              <w:rFonts w:ascii="黑体" w:hAnsi="黑体" w:eastAsia="黑体" w:cs="黑体"/>
              <w:sz w:val="22"/>
              <w:szCs w:val="28"/>
            </w:rPr>
            <w:fldChar w:fldCharType="separate"/>
          </w:r>
          <w:r>
            <w:rPr>
              <w:rFonts w:hint="eastAsia" w:ascii="宋体" w:hAnsi="宋体" w:eastAsia="宋体" w:cs="宋体"/>
              <w:sz w:val="22"/>
              <w:szCs w:val="28"/>
            </w:rPr>
            <w:t xml:space="preserve">1.1. </w:t>
          </w:r>
          <w:r>
            <w:rPr>
              <w:sz w:val="22"/>
              <w:szCs w:val="28"/>
            </w:rPr>
            <w:t>理想信念、人生目标的态度影响成长成才</w:t>
          </w:r>
          <w:r>
            <w:rPr>
              <w:sz w:val="22"/>
              <w:szCs w:val="28"/>
            </w:rPr>
            <w:tab/>
          </w:r>
          <w:r>
            <w:rPr>
              <w:sz w:val="22"/>
              <w:szCs w:val="28"/>
            </w:rPr>
            <w:fldChar w:fldCharType="begin"/>
          </w:r>
          <w:r>
            <w:rPr>
              <w:sz w:val="22"/>
              <w:szCs w:val="28"/>
            </w:rPr>
            <w:instrText xml:space="preserve"> PAGEREF _Toc13235 </w:instrText>
          </w:r>
          <w:r>
            <w:rPr>
              <w:sz w:val="22"/>
              <w:szCs w:val="28"/>
            </w:rPr>
            <w:fldChar w:fldCharType="separate"/>
          </w:r>
          <w:r>
            <w:rPr>
              <w:sz w:val="22"/>
              <w:szCs w:val="28"/>
            </w:rPr>
            <w:t>6</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_Toc4607 </w:instrText>
          </w:r>
          <w:r>
            <w:rPr>
              <w:rFonts w:ascii="黑体" w:hAnsi="黑体" w:eastAsia="黑体" w:cs="黑体"/>
              <w:sz w:val="22"/>
              <w:szCs w:val="28"/>
            </w:rPr>
            <w:fldChar w:fldCharType="separate"/>
          </w:r>
          <w:r>
            <w:rPr>
              <w:rFonts w:hint="eastAsia" w:ascii="宋体" w:hAnsi="宋体" w:eastAsia="宋体" w:cs="宋体"/>
              <w:sz w:val="22"/>
              <w:szCs w:val="24"/>
            </w:rPr>
            <w:t xml:space="preserve">1.2. </w:t>
          </w:r>
          <w:r>
            <w:rPr>
              <w:sz w:val="22"/>
              <w:szCs w:val="24"/>
            </w:rPr>
            <w:t>学生的主观能动性影响成长成才</w:t>
          </w:r>
          <w:r>
            <w:rPr>
              <w:sz w:val="22"/>
              <w:szCs w:val="28"/>
            </w:rPr>
            <w:tab/>
          </w:r>
          <w:r>
            <w:rPr>
              <w:sz w:val="22"/>
              <w:szCs w:val="28"/>
            </w:rPr>
            <w:fldChar w:fldCharType="begin"/>
          </w:r>
          <w:r>
            <w:rPr>
              <w:sz w:val="22"/>
              <w:szCs w:val="28"/>
            </w:rPr>
            <w:instrText xml:space="preserve"> PAGEREF _Toc4607 </w:instrText>
          </w:r>
          <w:r>
            <w:rPr>
              <w:sz w:val="22"/>
              <w:szCs w:val="28"/>
            </w:rPr>
            <w:fldChar w:fldCharType="separate"/>
          </w:r>
          <w:r>
            <w:rPr>
              <w:sz w:val="22"/>
              <w:szCs w:val="28"/>
            </w:rPr>
            <w:t>7</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_Toc28757 </w:instrText>
          </w:r>
          <w:r>
            <w:rPr>
              <w:rFonts w:ascii="黑体" w:hAnsi="黑体" w:eastAsia="黑体" w:cs="黑体"/>
              <w:sz w:val="22"/>
              <w:szCs w:val="28"/>
            </w:rPr>
            <w:fldChar w:fldCharType="separate"/>
          </w:r>
          <w:r>
            <w:rPr>
              <w:rFonts w:hint="eastAsia" w:ascii="宋体" w:hAnsi="宋体" w:eastAsia="宋体" w:cs="宋体"/>
              <w:sz w:val="22"/>
              <w:szCs w:val="24"/>
            </w:rPr>
            <w:t xml:space="preserve">1.3. </w:t>
          </w:r>
          <w:r>
            <w:rPr>
              <w:sz w:val="22"/>
              <w:szCs w:val="24"/>
            </w:rPr>
            <w:t>学生的明辨是非能力、正义责任感影响成长成才</w:t>
          </w:r>
          <w:r>
            <w:rPr>
              <w:sz w:val="22"/>
              <w:szCs w:val="28"/>
            </w:rPr>
            <w:tab/>
          </w:r>
          <w:r>
            <w:rPr>
              <w:sz w:val="22"/>
              <w:szCs w:val="28"/>
            </w:rPr>
            <w:fldChar w:fldCharType="begin"/>
          </w:r>
          <w:r>
            <w:rPr>
              <w:sz w:val="22"/>
              <w:szCs w:val="28"/>
            </w:rPr>
            <w:instrText xml:space="preserve"> PAGEREF _Toc28757 </w:instrText>
          </w:r>
          <w:r>
            <w:rPr>
              <w:sz w:val="22"/>
              <w:szCs w:val="28"/>
            </w:rPr>
            <w:fldChar w:fldCharType="separate"/>
          </w:r>
          <w:r>
            <w:rPr>
              <w:sz w:val="22"/>
              <w:szCs w:val="28"/>
            </w:rPr>
            <w:t>8</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_Toc22928 </w:instrText>
          </w:r>
          <w:r>
            <w:rPr>
              <w:rFonts w:ascii="黑体" w:hAnsi="黑体" w:eastAsia="黑体" w:cs="黑体"/>
              <w:sz w:val="22"/>
              <w:szCs w:val="28"/>
            </w:rPr>
            <w:fldChar w:fldCharType="separate"/>
          </w:r>
          <w:r>
            <w:rPr>
              <w:rFonts w:hint="eastAsia" w:ascii="宋体" w:hAnsi="宋体" w:eastAsia="宋体" w:cs="宋体"/>
              <w:sz w:val="22"/>
              <w:szCs w:val="24"/>
            </w:rPr>
            <w:t xml:space="preserve">1.4. </w:t>
          </w:r>
          <w:r>
            <w:rPr>
              <w:sz w:val="22"/>
              <w:szCs w:val="24"/>
            </w:rPr>
            <w:t>学生的自我调节适应能力影响成长成才</w:t>
          </w:r>
          <w:r>
            <w:rPr>
              <w:sz w:val="22"/>
              <w:szCs w:val="28"/>
            </w:rPr>
            <w:tab/>
          </w:r>
          <w:r>
            <w:rPr>
              <w:sz w:val="22"/>
              <w:szCs w:val="28"/>
            </w:rPr>
            <w:fldChar w:fldCharType="begin"/>
          </w:r>
          <w:r>
            <w:rPr>
              <w:sz w:val="22"/>
              <w:szCs w:val="28"/>
            </w:rPr>
            <w:instrText xml:space="preserve"> PAGEREF _Toc22928 </w:instrText>
          </w:r>
          <w:r>
            <w:rPr>
              <w:sz w:val="22"/>
              <w:szCs w:val="28"/>
            </w:rPr>
            <w:fldChar w:fldCharType="separate"/>
          </w:r>
          <w:r>
            <w:rPr>
              <w:sz w:val="22"/>
              <w:szCs w:val="28"/>
            </w:rPr>
            <w:t>9</w:t>
          </w:r>
          <w:r>
            <w:rPr>
              <w:sz w:val="22"/>
              <w:szCs w:val="28"/>
            </w:rPr>
            <w:fldChar w:fldCharType="end"/>
          </w:r>
          <w:r>
            <w:rPr>
              <w:rFonts w:ascii="黑体" w:hAnsi="黑体" w:eastAsia="黑体" w:cs="黑体"/>
              <w:sz w:val="22"/>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_Toc341 </w:instrText>
          </w:r>
          <w:r>
            <w:rPr>
              <w:rFonts w:ascii="黑体" w:hAnsi="黑体" w:eastAsia="黑体" w:cs="黑体"/>
              <w:sz w:val="22"/>
              <w:szCs w:val="28"/>
            </w:rPr>
            <w:fldChar w:fldCharType="separate"/>
          </w:r>
          <w:r>
            <w:rPr>
              <w:rFonts w:hint="eastAsia" w:ascii="宋体" w:hAnsi="宋体" w:eastAsia="宋体" w:cs="宋体"/>
              <w:sz w:val="22"/>
              <w:szCs w:val="28"/>
            </w:rPr>
            <w:t xml:space="preserve">2. </w:t>
          </w:r>
          <w:r>
            <w:rPr>
              <w:sz w:val="22"/>
              <w:szCs w:val="28"/>
            </w:rPr>
            <w:t>客观因素</w:t>
          </w:r>
          <w:r>
            <w:rPr>
              <w:sz w:val="22"/>
              <w:szCs w:val="28"/>
            </w:rPr>
            <w:tab/>
          </w:r>
          <w:r>
            <w:rPr>
              <w:sz w:val="22"/>
              <w:szCs w:val="28"/>
            </w:rPr>
            <w:fldChar w:fldCharType="begin"/>
          </w:r>
          <w:r>
            <w:rPr>
              <w:sz w:val="22"/>
              <w:szCs w:val="28"/>
            </w:rPr>
            <w:instrText xml:space="preserve"> PAGEREF _Toc341 </w:instrText>
          </w:r>
          <w:r>
            <w:rPr>
              <w:sz w:val="22"/>
              <w:szCs w:val="28"/>
            </w:rPr>
            <w:fldChar w:fldCharType="separate"/>
          </w:r>
          <w:r>
            <w:rPr>
              <w:sz w:val="22"/>
              <w:szCs w:val="28"/>
            </w:rPr>
            <w:t>10</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_Toc20247 </w:instrText>
          </w:r>
          <w:r>
            <w:rPr>
              <w:rFonts w:ascii="黑体" w:hAnsi="黑体" w:eastAsia="黑体" w:cs="黑体"/>
              <w:sz w:val="22"/>
              <w:szCs w:val="28"/>
            </w:rPr>
            <w:fldChar w:fldCharType="separate"/>
          </w:r>
          <w:r>
            <w:rPr>
              <w:rFonts w:hint="eastAsia" w:ascii="宋体" w:hAnsi="宋体" w:eastAsia="宋体" w:cs="宋体"/>
              <w:sz w:val="22"/>
              <w:szCs w:val="28"/>
            </w:rPr>
            <w:t xml:space="preserve">2.1. </w:t>
          </w:r>
          <w:r>
            <w:rPr>
              <w:sz w:val="22"/>
              <w:szCs w:val="28"/>
            </w:rPr>
            <w:t>家庭因素</w:t>
          </w:r>
          <w:r>
            <w:rPr>
              <w:sz w:val="22"/>
              <w:szCs w:val="28"/>
            </w:rPr>
            <w:tab/>
          </w:r>
          <w:r>
            <w:rPr>
              <w:sz w:val="22"/>
              <w:szCs w:val="28"/>
            </w:rPr>
            <w:fldChar w:fldCharType="begin"/>
          </w:r>
          <w:r>
            <w:rPr>
              <w:sz w:val="22"/>
              <w:szCs w:val="28"/>
            </w:rPr>
            <w:instrText xml:space="preserve"> PAGEREF _Toc20247 </w:instrText>
          </w:r>
          <w:r>
            <w:rPr>
              <w:sz w:val="22"/>
              <w:szCs w:val="28"/>
            </w:rPr>
            <w:fldChar w:fldCharType="separate"/>
          </w:r>
          <w:r>
            <w:rPr>
              <w:sz w:val="22"/>
              <w:szCs w:val="28"/>
            </w:rPr>
            <w:t>10</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_Toc2127 </w:instrText>
          </w:r>
          <w:r>
            <w:rPr>
              <w:rFonts w:ascii="黑体" w:hAnsi="黑体" w:eastAsia="黑体" w:cs="黑体"/>
              <w:sz w:val="22"/>
              <w:szCs w:val="28"/>
            </w:rPr>
            <w:fldChar w:fldCharType="separate"/>
          </w:r>
          <w:r>
            <w:rPr>
              <w:rFonts w:hint="eastAsia" w:ascii="宋体" w:hAnsi="宋体" w:eastAsia="宋体" w:cs="宋体"/>
              <w:sz w:val="22"/>
              <w:szCs w:val="24"/>
            </w:rPr>
            <w:t xml:space="preserve">2.2. </w:t>
          </w:r>
          <w:r>
            <w:rPr>
              <w:sz w:val="22"/>
              <w:szCs w:val="24"/>
            </w:rPr>
            <w:t>社会因素</w:t>
          </w:r>
          <w:r>
            <w:rPr>
              <w:sz w:val="22"/>
              <w:szCs w:val="28"/>
            </w:rPr>
            <w:tab/>
          </w:r>
          <w:r>
            <w:rPr>
              <w:sz w:val="22"/>
              <w:szCs w:val="28"/>
            </w:rPr>
            <w:fldChar w:fldCharType="begin"/>
          </w:r>
          <w:r>
            <w:rPr>
              <w:sz w:val="22"/>
              <w:szCs w:val="28"/>
            </w:rPr>
            <w:instrText xml:space="preserve"> PAGEREF _Toc2127 </w:instrText>
          </w:r>
          <w:r>
            <w:rPr>
              <w:sz w:val="22"/>
              <w:szCs w:val="28"/>
            </w:rPr>
            <w:fldChar w:fldCharType="separate"/>
          </w:r>
          <w:r>
            <w:rPr>
              <w:sz w:val="22"/>
              <w:szCs w:val="28"/>
            </w:rPr>
            <w:t>10</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_Toc24606 </w:instrText>
          </w:r>
          <w:r>
            <w:rPr>
              <w:rFonts w:ascii="黑体" w:hAnsi="黑体" w:eastAsia="黑体" w:cs="黑体"/>
              <w:sz w:val="22"/>
              <w:szCs w:val="28"/>
            </w:rPr>
            <w:fldChar w:fldCharType="separate"/>
          </w:r>
          <w:r>
            <w:rPr>
              <w:rFonts w:hint="eastAsia" w:ascii="宋体" w:hAnsi="宋体" w:eastAsia="宋体" w:cs="宋体"/>
              <w:sz w:val="22"/>
              <w:szCs w:val="24"/>
            </w:rPr>
            <w:t xml:space="preserve">2.3. </w:t>
          </w:r>
          <w:r>
            <w:rPr>
              <w:sz w:val="22"/>
              <w:szCs w:val="24"/>
            </w:rPr>
            <w:t>学校因素</w:t>
          </w:r>
          <w:r>
            <w:rPr>
              <w:sz w:val="22"/>
              <w:szCs w:val="28"/>
            </w:rPr>
            <w:tab/>
          </w:r>
          <w:r>
            <w:rPr>
              <w:sz w:val="22"/>
              <w:szCs w:val="28"/>
            </w:rPr>
            <w:fldChar w:fldCharType="begin"/>
          </w:r>
          <w:r>
            <w:rPr>
              <w:sz w:val="22"/>
              <w:szCs w:val="28"/>
            </w:rPr>
            <w:instrText xml:space="preserve"> PAGEREF _Toc24606 </w:instrText>
          </w:r>
          <w:r>
            <w:rPr>
              <w:sz w:val="22"/>
              <w:szCs w:val="28"/>
            </w:rPr>
            <w:fldChar w:fldCharType="separate"/>
          </w:r>
          <w:r>
            <w:rPr>
              <w:sz w:val="22"/>
              <w:szCs w:val="28"/>
            </w:rPr>
            <w:t>11</w:t>
          </w:r>
          <w:r>
            <w:rPr>
              <w:sz w:val="22"/>
              <w:szCs w:val="28"/>
            </w:rPr>
            <w:fldChar w:fldCharType="end"/>
          </w:r>
          <w:r>
            <w:rPr>
              <w:rFonts w:ascii="黑体" w:hAnsi="黑体" w:eastAsia="黑体" w:cs="黑体"/>
              <w:sz w:val="22"/>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_Toc19837 </w:instrText>
          </w:r>
          <w:r>
            <w:rPr>
              <w:rFonts w:ascii="黑体" w:hAnsi="黑体" w:eastAsia="黑体" w:cs="黑体"/>
              <w:sz w:val="22"/>
              <w:szCs w:val="28"/>
            </w:rPr>
            <w:fldChar w:fldCharType="separate"/>
          </w:r>
          <w:r>
            <w:rPr>
              <w:rFonts w:hint="eastAsia" w:ascii="宋体" w:hAnsi="宋体" w:eastAsia="宋体" w:cs="宋体"/>
              <w:sz w:val="22"/>
              <w:szCs w:val="28"/>
            </w:rPr>
            <w:t xml:space="preserve">四. </w:t>
          </w:r>
          <w:r>
            <w:rPr>
              <w:sz w:val="22"/>
              <w:szCs w:val="28"/>
            </w:rPr>
            <w:t>结合影响因素，引导青年成长成才</w:t>
          </w:r>
          <w:r>
            <w:rPr>
              <w:sz w:val="22"/>
              <w:szCs w:val="28"/>
            </w:rPr>
            <w:tab/>
          </w:r>
          <w:r>
            <w:rPr>
              <w:sz w:val="22"/>
              <w:szCs w:val="28"/>
            </w:rPr>
            <w:fldChar w:fldCharType="begin"/>
          </w:r>
          <w:r>
            <w:rPr>
              <w:sz w:val="22"/>
              <w:szCs w:val="28"/>
            </w:rPr>
            <w:instrText xml:space="preserve"> PAGEREF _Toc19837 </w:instrText>
          </w:r>
          <w:r>
            <w:rPr>
              <w:sz w:val="22"/>
              <w:szCs w:val="28"/>
            </w:rPr>
            <w:fldChar w:fldCharType="separate"/>
          </w:r>
          <w:r>
            <w:rPr>
              <w:sz w:val="22"/>
              <w:szCs w:val="28"/>
            </w:rPr>
            <w:t>12</w:t>
          </w:r>
          <w:r>
            <w:rPr>
              <w:sz w:val="22"/>
              <w:szCs w:val="28"/>
            </w:rPr>
            <w:fldChar w:fldCharType="end"/>
          </w:r>
          <w:r>
            <w:rPr>
              <w:rFonts w:ascii="黑体" w:hAnsi="黑体" w:eastAsia="黑体" w:cs="黑体"/>
              <w:sz w:val="22"/>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_Toc26984 </w:instrText>
          </w:r>
          <w:r>
            <w:rPr>
              <w:rFonts w:ascii="黑体" w:hAnsi="黑体" w:eastAsia="黑体" w:cs="黑体"/>
              <w:sz w:val="22"/>
              <w:szCs w:val="28"/>
            </w:rPr>
            <w:fldChar w:fldCharType="separate"/>
          </w:r>
          <w:r>
            <w:rPr>
              <w:rFonts w:hint="eastAsia" w:ascii="宋体" w:hAnsi="宋体" w:eastAsia="宋体" w:cs="宋体"/>
              <w:sz w:val="22"/>
              <w:szCs w:val="28"/>
            </w:rPr>
            <w:t xml:space="preserve">1. </w:t>
          </w:r>
          <w:r>
            <w:rPr>
              <w:sz w:val="22"/>
              <w:szCs w:val="28"/>
            </w:rPr>
            <w:t>坚定理想信念，规划人生目标</w:t>
          </w:r>
          <w:r>
            <w:rPr>
              <w:sz w:val="22"/>
              <w:szCs w:val="28"/>
            </w:rPr>
            <w:tab/>
          </w:r>
          <w:r>
            <w:rPr>
              <w:sz w:val="22"/>
              <w:szCs w:val="28"/>
            </w:rPr>
            <w:fldChar w:fldCharType="begin"/>
          </w:r>
          <w:r>
            <w:rPr>
              <w:sz w:val="22"/>
              <w:szCs w:val="28"/>
            </w:rPr>
            <w:instrText xml:space="preserve"> PAGEREF _Toc26984 </w:instrText>
          </w:r>
          <w:r>
            <w:rPr>
              <w:sz w:val="22"/>
              <w:szCs w:val="28"/>
            </w:rPr>
            <w:fldChar w:fldCharType="separate"/>
          </w:r>
          <w:r>
            <w:rPr>
              <w:sz w:val="22"/>
              <w:szCs w:val="28"/>
            </w:rPr>
            <w:t>12</w:t>
          </w:r>
          <w:r>
            <w:rPr>
              <w:sz w:val="22"/>
              <w:szCs w:val="28"/>
            </w:rPr>
            <w:fldChar w:fldCharType="end"/>
          </w:r>
          <w:r>
            <w:rPr>
              <w:rFonts w:ascii="黑体" w:hAnsi="黑体" w:eastAsia="黑体" w:cs="黑体"/>
              <w:sz w:val="22"/>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_Toc25156 </w:instrText>
          </w:r>
          <w:r>
            <w:rPr>
              <w:rFonts w:ascii="黑体" w:hAnsi="黑体" w:eastAsia="黑体" w:cs="黑体"/>
              <w:sz w:val="22"/>
              <w:szCs w:val="28"/>
            </w:rPr>
            <w:fldChar w:fldCharType="separate"/>
          </w:r>
          <w:r>
            <w:rPr>
              <w:rFonts w:hint="eastAsia" w:ascii="宋体" w:hAnsi="宋体" w:eastAsia="宋体" w:cs="宋体"/>
              <w:sz w:val="22"/>
              <w:szCs w:val="24"/>
            </w:rPr>
            <w:t xml:space="preserve">2. </w:t>
          </w:r>
          <w:r>
            <w:rPr>
              <w:rFonts w:ascii="Arial" w:hAnsi="Arial"/>
              <w:sz w:val="22"/>
              <w:szCs w:val="24"/>
            </w:rPr>
            <w:t>完善教育体制，多方位培养人才</w:t>
          </w:r>
          <w:r>
            <w:rPr>
              <w:sz w:val="22"/>
              <w:szCs w:val="28"/>
            </w:rPr>
            <w:tab/>
          </w:r>
          <w:r>
            <w:rPr>
              <w:sz w:val="22"/>
              <w:szCs w:val="28"/>
            </w:rPr>
            <w:fldChar w:fldCharType="begin"/>
          </w:r>
          <w:r>
            <w:rPr>
              <w:sz w:val="22"/>
              <w:szCs w:val="28"/>
            </w:rPr>
            <w:instrText xml:space="preserve"> PAGEREF _Toc25156 </w:instrText>
          </w:r>
          <w:r>
            <w:rPr>
              <w:sz w:val="22"/>
              <w:szCs w:val="28"/>
            </w:rPr>
            <w:fldChar w:fldCharType="separate"/>
          </w:r>
          <w:r>
            <w:rPr>
              <w:sz w:val="22"/>
              <w:szCs w:val="28"/>
            </w:rPr>
            <w:t>13</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_Toc26568 </w:instrText>
          </w:r>
          <w:r>
            <w:rPr>
              <w:rFonts w:ascii="黑体" w:hAnsi="黑体" w:eastAsia="黑体" w:cs="黑体"/>
              <w:sz w:val="22"/>
              <w:szCs w:val="28"/>
            </w:rPr>
            <w:fldChar w:fldCharType="separate"/>
          </w:r>
          <w:r>
            <w:rPr>
              <w:rFonts w:hint="eastAsia" w:ascii="宋体" w:hAnsi="宋体" w:eastAsia="宋体" w:cs="宋体"/>
              <w:sz w:val="22"/>
              <w:szCs w:val="28"/>
            </w:rPr>
            <w:t xml:space="preserve">2.1. </w:t>
          </w:r>
          <w:r>
            <w:rPr>
              <w:sz w:val="22"/>
              <w:szCs w:val="28"/>
            </w:rPr>
            <w:t>以学生为主体，优化人才培养的顶层设计</w:t>
          </w:r>
          <w:r>
            <w:rPr>
              <w:sz w:val="22"/>
              <w:szCs w:val="28"/>
            </w:rPr>
            <w:tab/>
          </w:r>
          <w:r>
            <w:rPr>
              <w:sz w:val="22"/>
              <w:szCs w:val="28"/>
            </w:rPr>
            <w:fldChar w:fldCharType="begin"/>
          </w:r>
          <w:r>
            <w:rPr>
              <w:sz w:val="22"/>
              <w:szCs w:val="28"/>
            </w:rPr>
            <w:instrText xml:space="preserve"> PAGEREF _Toc26568 </w:instrText>
          </w:r>
          <w:r>
            <w:rPr>
              <w:sz w:val="22"/>
              <w:szCs w:val="28"/>
            </w:rPr>
            <w:fldChar w:fldCharType="separate"/>
          </w:r>
          <w:r>
            <w:rPr>
              <w:sz w:val="22"/>
              <w:szCs w:val="28"/>
            </w:rPr>
            <w:t>13</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_Toc17696 </w:instrText>
          </w:r>
          <w:r>
            <w:rPr>
              <w:rFonts w:ascii="黑体" w:hAnsi="黑体" w:eastAsia="黑体" w:cs="黑体"/>
              <w:sz w:val="22"/>
              <w:szCs w:val="28"/>
            </w:rPr>
            <w:fldChar w:fldCharType="separate"/>
          </w:r>
          <w:r>
            <w:rPr>
              <w:rFonts w:hint="eastAsia" w:ascii="宋体" w:hAnsi="宋体" w:eastAsia="宋体" w:cs="宋体"/>
              <w:sz w:val="22"/>
              <w:szCs w:val="24"/>
            </w:rPr>
            <w:t xml:space="preserve">2.2. </w:t>
          </w:r>
          <w:r>
            <w:rPr>
              <w:sz w:val="22"/>
              <w:szCs w:val="24"/>
            </w:rPr>
            <w:t>以“良知教育”为先导，培养真正的“人”</w:t>
          </w:r>
          <w:r>
            <w:rPr>
              <w:sz w:val="22"/>
              <w:szCs w:val="28"/>
            </w:rPr>
            <w:tab/>
          </w:r>
          <w:r>
            <w:rPr>
              <w:sz w:val="22"/>
              <w:szCs w:val="28"/>
            </w:rPr>
            <w:fldChar w:fldCharType="begin"/>
          </w:r>
          <w:r>
            <w:rPr>
              <w:sz w:val="22"/>
              <w:szCs w:val="28"/>
            </w:rPr>
            <w:instrText xml:space="preserve"> PAGEREF _Toc17696 </w:instrText>
          </w:r>
          <w:r>
            <w:rPr>
              <w:sz w:val="22"/>
              <w:szCs w:val="28"/>
            </w:rPr>
            <w:fldChar w:fldCharType="separate"/>
          </w:r>
          <w:r>
            <w:rPr>
              <w:sz w:val="22"/>
              <w:szCs w:val="28"/>
            </w:rPr>
            <w:t>14</w:t>
          </w:r>
          <w:r>
            <w:rPr>
              <w:sz w:val="22"/>
              <w:szCs w:val="28"/>
            </w:rPr>
            <w:fldChar w:fldCharType="end"/>
          </w:r>
          <w:r>
            <w:rPr>
              <w:rFonts w:ascii="黑体" w:hAnsi="黑体" w:eastAsia="黑体" w:cs="黑体"/>
              <w:sz w:val="22"/>
              <w:szCs w:val="28"/>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_Toc26848 </w:instrText>
          </w:r>
          <w:r>
            <w:rPr>
              <w:rFonts w:ascii="黑体" w:hAnsi="黑体" w:eastAsia="黑体" w:cs="黑体"/>
              <w:sz w:val="22"/>
              <w:szCs w:val="28"/>
            </w:rPr>
            <w:fldChar w:fldCharType="separate"/>
          </w:r>
          <w:r>
            <w:rPr>
              <w:rFonts w:hint="eastAsia" w:ascii="宋体" w:hAnsi="宋体" w:eastAsia="宋体" w:cs="宋体"/>
              <w:sz w:val="22"/>
              <w:szCs w:val="24"/>
            </w:rPr>
            <w:t xml:space="preserve">2.3. </w:t>
          </w:r>
          <w:r>
            <w:rPr>
              <w:sz w:val="22"/>
              <w:szCs w:val="24"/>
            </w:rPr>
            <w:t>以“责任教育”为激励，赋予责任担当“天下兴亡，匹夫有责。”</w:t>
          </w:r>
          <w:r>
            <w:rPr>
              <w:sz w:val="22"/>
              <w:szCs w:val="28"/>
            </w:rPr>
            <w:tab/>
          </w:r>
          <w:r>
            <w:rPr>
              <w:sz w:val="22"/>
              <w:szCs w:val="28"/>
            </w:rPr>
            <w:fldChar w:fldCharType="begin"/>
          </w:r>
          <w:r>
            <w:rPr>
              <w:sz w:val="22"/>
              <w:szCs w:val="28"/>
            </w:rPr>
            <w:instrText xml:space="preserve"> PAGEREF _Toc26848 </w:instrText>
          </w:r>
          <w:r>
            <w:rPr>
              <w:sz w:val="22"/>
              <w:szCs w:val="28"/>
            </w:rPr>
            <w:fldChar w:fldCharType="separate"/>
          </w:r>
          <w:r>
            <w:rPr>
              <w:sz w:val="22"/>
              <w:szCs w:val="28"/>
            </w:rPr>
            <w:t>15</w:t>
          </w:r>
          <w:r>
            <w:rPr>
              <w:sz w:val="22"/>
              <w:szCs w:val="28"/>
            </w:rPr>
            <w:fldChar w:fldCharType="end"/>
          </w:r>
          <w:r>
            <w:rPr>
              <w:rFonts w:ascii="黑体" w:hAnsi="黑体" w:eastAsia="黑体" w:cs="黑体"/>
              <w:sz w:val="22"/>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_Toc31224 </w:instrText>
          </w:r>
          <w:r>
            <w:rPr>
              <w:rFonts w:ascii="黑体" w:hAnsi="黑体" w:eastAsia="黑体" w:cs="黑体"/>
              <w:sz w:val="22"/>
              <w:szCs w:val="28"/>
            </w:rPr>
            <w:fldChar w:fldCharType="separate"/>
          </w:r>
          <w:r>
            <w:rPr>
              <w:rFonts w:hint="eastAsia" w:ascii="宋体" w:hAnsi="宋体" w:eastAsia="宋体" w:cs="宋体"/>
              <w:sz w:val="22"/>
              <w:szCs w:val="28"/>
            </w:rPr>
            <w:t xml:space="preserve">五. </w:t>
          </w:r>
          <w:r>
            <w:rPr>
              <w:sz w:val="22"/>
              <w:szCs w:val="28"/>
            </w:rPr>
            <w:t>进一步研究设想</w:t>
          </w:r>
          <w:r>
            <w:rPr>
              <w:sz w:val="22"/>
              <w:szCs w:val="28"/>
            </w:rPr>
            <w:tab/>
          </w:r>
          <w:r>
            <w:rPr>
              <w:sz w:val="22"/>
              <w:szCs w:val="28"/>
            </w:rPr>
            <w:fldChar w:fldCharType="begin"/>
          </w:r>
          <w:r>
            <w:rPr>
              <w:sz w:val="22"/>
              <w:szCs w:val="28"/>
            </w:rPr>
            <w:instrText xml:space="preserve"> PAGEREF _Toc31224 </w:instrText>
          </w:r>
          <w:r>
            <w:rPr>
              <w:sz w:val="22"/>
              <w:szCs w:val="28"/>
            </w:rPr>
            <w:fldChar w:fldCharType="separate"/>
          </w:r>
          <w:r>
            <w:rPr>
              <w:sz w:val="22"/>
              <w:szCs w:val="28"/>
            </w:rPr>
            <w:t>15</w:t>
          </w:r>
          <w:r>
            <w:rPr>
              <w:sz w:val="22"/>
              <w:szCs w:val="28"/>
            </w:rPr>
            <w:fldChar w:fldCharType="end"/>
          </w:r>
          <w:r>
            <w:rPr>
              <w:rFonts w:ascii="黑体" w:hAnsi="黑体" w:eastAsia="黑体" w:cs="黑体"/>
              <w:sz w:val="22"/>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_Toc666 </w:instrText>
          </w:r>
          <w:r>
            <w:rPr>
              <w:rFonts w:ascii="黑体" w:hAnsi="黑体" w:eastAsia="黑体" w:cs="黑体"/>
              <w:sz w:val="22"/>
              <w:szCs w:val="28"/>
            </w:rPr>
            <w:fldChar w:fldCharType="separate"/>
          </w:r>
          <w:r>
            <w:rPr>
              <w:rFonts w:hint="eastAsia" w:ascii="宋体" w:hAnsi="宋体" w:eastAsia="宋体" w:cs="宋体"/>
              <w:sz w:val="22"/>
              <w:szCs w:val="28"/>
            </w:rPr>
            <w:t xml:space="preserve">1. </w:t>
          </w:r>
          <w:r>
            <w:rPr>
              <w:sz w:val="22"/>
              <w:szCs w:val="28"/>
            </w:rPr>
            <w:t>社会主义核心价值观是当代青年成长成才的价值质料</w:t>
          </w:r>
          <w:r>
            <w:rPr>
              <w:sz w:val="22"/>
              <w:szCs w:val="28"/>
            </w:rPr>
            <w:tab/>
          </w:r>
          <w:r>
            <w:rPr>
              <w:sz w:val="22"/>
              <w:szCs w:val="28"/>
            </w:rPr>
            <w:fldChar w:fldCharType="begin"/>
          </w:r>
          <w:r>
            <w:rPr>
              <w:sz w:val="22"/>
              <w:szCs w:val="28"/>
            </w:rPr>
            <w:instrText xml:space="preserve"> PAGEREF _Toc666 </w:instrText>
          </w:r>
          <w:r>
            <w:rPr>
              <w:sz w:val="22"/>
              <w:szCs w:val="28"/>
            </w:rPr>
            <w:fldChar w:fldCharType="separate"/>
          </w:r>
          <w:r>
            <w:rPr>
              <w:sz w:val="22"/>
              <w:szCs w:val="28"/>
            </w:rPr>
            <w:t>15</w:t>
          </w:r>
          <w:r>
            <w:rPr>
              <w:sz w:val="22"/>
              <w:szCs w:val="28"/>
            </w:rPr>
            <w:fldChar w:fldCharType="end"/>
          </w:r>
          <w:r>
            <w:rPr>
              <w:rFonts w:ascii="黑体" w:hAnsi="黑体" w:eastAsia="黑体" w:cs="黑体"/>
              <w:sz w:val="22"/>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_Toc25128 </w:instrText>
          </w:r>
          <w:r>
            <w:rPr>
              <w:rFonts w:ascii="黑体" w:hAnsi="黑体" w:eastAsia="黑体" w:cs="黑体"/>
              <w:sz w:val="22"/>
              <w:szCs w:val="28"/>
            </w:rPr>
            <w:fldChar w:fldCharType="separate"/>
          </w:r>
          <w:r>
            <w:rPr>
              <w:rFonts w:hint="eastAsia" w:ascii="宋体" w:hAnsi="宋体" w:eastAsia="宋体" w:cs="宋体"/>
              <w:sz w:val="22"/>
              <w:szCs w:val="24"/>
            </w:rPr>
            <w:t xml:space="preserve">2. </w:t>
          </w:r>
          <w:r>
            <w:rPr>
              <w:rFonts w:ascii="Arial" w:hAnsi="Arial"/>
              <w:sz w:val="22"/>
              <w:szCs w:val="24"/>
            </w:rPr>
            <w:t>习近平新时代中国特色社会主义思想是当代青年成长成才的精神营养</w:t>
          </w:r>
          <w:r>
            <w:rPr>
              <w:sz w:val="22"/>
              <w:szCs w:val="28"/>
            </w:rPr>
            <w:tab/>
          </w:r>
          <w:r>
            <w:rPr>
              <w:sz w:val="22"/>
              <w:szCs w:val="28"/>
            </w:rPr>
            <w:fldChar w:fldCharType="begin"/>
          </w:r>
          <w:r>
            <w:rPr>
              <w:sz w:val="22"/>
              <w:szCs w:val="28"/>
            </w:rPr>
            <w:instrText xml:space="preserve"> PAGEREF _Toc25128 </w:instrText>
          </w:r>
          <w:r>
            <w:rPr>
              <w:sz w:val="22"/>
              <w:szCs w:val="28"/>
            </w:rPr>
            <w:fldChar w:fldCharType="separate"/>
          </w:r>
          <w:r>
            <w:rPr>
              <w:sz w:val="22"/>
              <w:szCs w:val="28"/>
            </w:rPr>
            <w:t>17</w:t>
          </w:r>
          <w:r>
            <w:rPr>
              <w:sz w:val="22"/>
              <w:szCs w:val="28"/>
            </w:rPr>
            <w:fldChar w:fldCharType="end"/>
          </w:r>
          <w:r>
            <w:rPr>
              <w:rFonts w:ascii="黑体" w:hAnsi="黑体" w:eastAsia="黑体" w:cs="黑体"/>
              <w:sz w:val="22"/>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_Toc3987 </w:instrText>
          </w:r>
          <w:r>
            <w:rPr>
              <w:rFonts w:ascii="黑体" w:hAnsi="黑体" w:eastAsia="黑体" w:cs="黑体"/>
              <w:sz w:val="22"/>
              <w:szCs w:val="28"/>
            </w:rPr>
            <w:fldChar w:fldCharType="separate"/>
          </w:r>
          <w:r>
            <w:rPr>
              <w:rFonts w:hint="eastAsia" w:ascii="宋体" w:hAnsi="宋体" w:eastAsia="宋体" w:cs="宋体"/>
              <w:sz w:val="22"/>
              <w:szCs w:val="28"/>
            </w:rPr>
            <w:t xml:space="preserve">六. </w:t>
          </w:r>
          <w:r>
            <w:rPr>
              <w:sz w:val="22"/>
              <w:szCs w:val="28"/>
            </w:rPr>
            <w:t>总结、个人体会</w:t>
          </w:r>
          <w:r>
            <w:rPr>
              <w:sz w:val="22"/>
              <w:szCs w:val="28"/>
            </w:rPr>
            <w:tab/>
          </w:r>
          <w:r>
            <w:rPr>
              <w:sz w:val="22"/>
              <w:szCs w:val="28"/>
            </w:rPr>
            <w:fldChar w:fldCharType="begin"/>
          </w:r>
          <w:r>
            <w:rPr>
              <w:sz w:val="22"/>
              <w:szCs w:val="28"/>
            </w:rPr>
            <w:instrText xml:space="preserve"> PAGEREF _Toc3987 </w:instrText>
          </w:r>
          <w:r>
            <w:rPr>
              <w:sz w:val="22"/>
              <w:szCs w:val="28"/>
            </w:rPr>
            <w:fldChar w:fldCharType="separate"/>
          </w:r>
          <w:r>
            <w:rPr>
              <w:sz w:val="22"/>
              <w:szCs w:val="28"/>
            </w:rPr>
            <w:t>18</w:t>
          </w:r>
          <w:r>
            <w:rPr>
              <w:sz w:val="22"/>
              <w:szCs w:val="28"/>
            </w:rPr>
            <w:fldChar w:fldCharType="end"/>
          </w:r>
          <w:r>
            <w:rPr>
              <w:rFonts w:ascii="黑体" w:hAnsi="黑体" w:eastAsia="黑体" w:cs="黑体"/>
              <w:sz w:val="22"/>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2"/>
              <w:szCs w:val="28"/>
            </w:rPr>
          </w:pPr>
          <w:r>
            <w:rPr>
              <w:rFonts w:ascii="黑体" w:hAnsi="黑体" w:eastAsia="黑体" w:cs="黑体"/>
              <w:sz w:val="22"/>
              <w:szCs w:val="28"/>
            </w:rPr>
            <w:fldChar w:fldCharType="begin"/>
          </w:r>
          <w:r>
            <w:rPr>
              <w:rFonts w:ascii="黑体" w:hAnsi="黑体" w:eastAsia="黑体" w:cs="黑体"/>
              <w:sz w:val="22"/>
              <w:szCs w:val="28"/>
            </w:rPr>
            <w:instrText xml:space="preserve"> HYPERLINK \l _Toc14784 </w:instrText>
          </w:r>
          <w:r>
            <w:rPr>
              <w:rFonts w:ascii="黑体" w:hAnsi="黑体" w:eastAsia="黑体" w:cs="黑体"/>
              <w:sz w:val="22"/>
              <w:szCs w:val="28"/>
            </w:rPr>
            <w:fldChar w:fldCharType="separate"/>
          </w:r>
          <w:r>
            <w:rPr>
              <w:rFonts w:hint="eastAsia" w:ascii="宋体" w:hAnsi="宋体" w:eastAsia="宋体" w:cs="宋体"/>
              <w:sz w:val="22"/>
              <w:szCs w:val="28"/>
            </w:rPr>
            <w:t xml:space="preserve">七. </w:t>
          </w:r>
          <w:r>
            <w:rPr>
              <w:rFonts w:hint="eastAsia"/>
              <w:sz w:val="22"/>
              <w:szCs w:val="28"/>
              <w:lang w:val="en-US" w:eastAsia="zh-CN"/>
            </w:rPr>
            <w:t>参考</w:t>
          </w:r>
          <w:r>
            <w:rPr>
              <w:sz w:val="22"/>
              <w:szCs w:val="28"/>
            </w:rPr>
            <w:t>文献：</w:t>
          </w:r>
          <w:r>
            <w:rPr>
              <w:sz w:val="22"/>
              <w:szCs w:val="28"/>
            </w:rPr>
            <w:tab/>
          </w:r>
          <w:r>
            <w:rPr>
              <w:sz w:val="22"/>
              <w:szCs w:val="28"/>
            </w:rPr>
            <w:fldChar w:fldCharType="begin"/>
          </w:r>
          <w:r>
            <w:rPr>
              <w:sz w:val="22"/>
              <w:szCs w:val="28"/>
            </w:rPr>
            <w:instrText xml:space="preserve"> PAGEREF _Toc14784 </w:instrText>
          </w:r>
          <w:r>
            <w:rPr>
              <w:sz w:val="22"/>
              <w:szCs w:val="28"/>
            </w:rPr>
            <w:fldChar w:fldCharType="separate"/>
          </w:r>
          <w:r>
            <w:rPr>
              <w:sz w:val="22"/>
              <w:szCs w:val="28"/>
            </w:rPr>
            <w:t>19</w:t>
          </w:r>
          <w:r>
            <w:rPr>
              <w:sz w:val="22"/>
              <w:szCs w:val="28"/>
            </w:rPr>
            <w:fldChar w:fldCharType="end"/>
          </w:r>
          <w:r>
            <w:rPr>
              <w:rFonts w:ascii="黑体" w:hAnsi="黑体" w:eastAsia="黑体" w:cs="黑体"/>
              <w:sz w:val="22"/>
              <w:szCs w:val="28"/>
            </w:rPr>
            <w:fldChar w:fldCharType="end"/>
          </w:r>
        </w:p>
        <w:p>
          <w:pPr>
            <w:pStyle w:val="16"/>
            <w:keepNext w:val="0"/>
            <w:keepLines w:val="0"/>
            <w:pageBreakBefore w:val="0"/>
            <w:kinsoku/>
            <w:wordWrap/>
            <w:overflowPunct/>
            <w:topLinePunct w:val="0"/>
            <w:autoSpaceDE/>
            <w:autoSpaceDN/>
            <w:bidi w:val="0"/>
            <w:adjustRightInd/>
            <w:snapToGrid/>
            <w:spacing w:line="240" w:lineRule="auto"/>
            <w:jc w:val="both"/>
            <w:textAlignment w:val="auto"/>
            <w:rPr>
              <w:rFonts w:ascii="黑体" w:hAnsi="黑体" w:eastAsia="黑体" w:cs="黑体"/>
              <w:b/>
              <w:sz w:val="32"/>
            </w:rPr>
          </w:pPr>
          <w:r>
            <w:rPr>
              <w:rFonts w:ascii="黑体" w:hAnsi="黑体" w:eastAsia="黑体" w:cs="黑体"/>
              <w:sz w:val="72"/>
              <w:szCs w:val="72"/>
            </w:rPr>
            <w:fldChar w:fldCharType="end"/>
          </w:r>
        </w:p>
      </w:sdtContent>
    </w:sdt>
    <w:p>
      <w:pPr>
        <w:pStyle w:val="16"/>
        <w:jc w:val="both"/>
        <w:rPr>
          <w:rFonts w:ascii="黑体" w:hAnsi="黑体" w:eastAsia="黑体" w:cs="黑体"/>
          <w:b/>
          <w:sz w:val="32"/>
        </w:rPr>
      </w:pPr>
      <w:r>
        <w:rPr>
          <w:rFonts w:ascii="黑体" w:hAnsi="黑体" w:eastAsia="黑体" w:cs="黑体"/>
          <w:b/>
          <w:sz w:val="32"/>
        </w:rPr>
        <w:br w:type="page"/>
      </w:r>
    </w:p>
    <w:p>
      <w:pPr>
        <w:pStyle w:val="16"/>
        <w:jc w:val="center"/>
      </w:pPr>
      <w:r>
        <w:rPr>
          <w:rFonts w:ascii="黑体" w:hAnsi="黑体" w:eastAsia="黑体" w:cs="黑体"/>
          <w:b/>
          <w:sz w:val="32"/>
        </w:rPr>
        <w:t>前言</w:t>
      </w:r>
    </w:p>
    <w:p>
      <w:pPr>
        <w:pStyle w:val="17"/>
        <w:ind w:left="240" w:firstLine="420"/>
        <w:jc w:val="left"/>
      </w:pPr>
      <w:r>
        <w:rPr>
          <w:rFonts w:ascii="宋体" w:hAnsi="宋体" w:eastAsia="宋体" w:cs="宋体"/>
          <w:sz w:val="28"/>
        </w:rPr>
        <w:t xml:space="preserve"> </w:t>
      </w:r>
      <w:r>
        <w:rPr>
          <w:rFonts w:ascii="宋体" w:hAnsi="宋体" w:eastAsia="宋体" w:cs="宋体"/>
          <w:sz w:val="24"/>
          <w:szCs w:val="24"/>
        </w:rPr>
        <w:t>在社会发展迅速的同时，祖国发展的重任也逐渐转移到新时代的青年肩上。党的十八大以来，习近平总书记关于青年成长成才这一问题做出一系列重要论述，这些论述为新时代青年成长成才指明方向，构成了新时代中国特色社会主义思想的一部分。本文就新时代青年成长成才的影响因素进行深入分析与探讨。</w:t>
      </w:r>
    </w:p>
    <w:p>
      <w:pPr>
        <w:pStyle w:val="17"/>
        <w:ind w:firstLine="843" w:firstLineChars="300"/>
        <w:jc w:val="left"/>
      </w:pPr>
      <w:r>
        <w:rPr>
          <w:rFonts w:ascii="宋体" w:hAnsi="宋体" w:eastAsia="宋体" w:cs="宋体"/>
          <w:b/>
          <w:sz w:val="28"/>
        </w:rPr>
        <w:t>关键词</w:t>
      </w:r>
      <w:r>
        <w:rPr>
          <w:rFonts w:ascii="宋体" w:hAnsi="宋体" w:eastAsia="宋体" w:cs="宋体"/>
          <w:sz w:val="28"/>
        </w:rPr>
        <w:t>：新时代；新青年；成长成才</w:t>
      </w:r>
    </w:p>
    <w:p>
      <w:pPr>
        <w:pStyle w:val="2"/>
        <w:ind w:left="432" w:leftChars="0" w:hanging="432" w:firstLineChars="0"/>
      </w:pPr>
      <w:bookmarkStart w:id="0" w:name="_Toc12833"/>
      <w:bookmarkStart w:id="1" w:name="_Toc22024"/>
      <w:r>
        <w:t>新时代青年成长成才的意义</w:t>
      </w:r>
      <w:bookmarkEnd w:id="0"/>
      <w:bookmarkEnd w:id="1"/>
    </w:p>
    <w:p>
      <w:pPr>
        <w:pStyle w:val="17"/>
        <w:ind w:firstLine="500" w:firstLineChars="0"/>
        <w:jc w:val="both"/>
      </w:pPr>
      <w:r>
        <w:rPr>
          <w:rFonts w:ascii="宋体" w:hAnsi="宋体" w:eastAsia="宋体" w:cs="宋体"/>
          <w:sz w:val="28"/>
        </w:rPr>
        <w:t>党的十八大以来，以习近平同志为核心的党中央牢牢把握中国特色社会主义这个主题，统筹推</w:t>
      </w:r>
      <w:r>
        <w:rPr>
          <w:rFonts w:hint="eastAsia" w:ascii="宋体" w:hAnsi="宋体" w:eastAsia="宋体" w:cs="宋体"/>
          <w:sz w:val="28"/>
          <w:lang w:val="en-US" w:eastAsia="zh-CN"/>
        </w:rPr>
        <w:t>进</w:t>
      </w:r>
      <w:r>
        <w:rPr>
          <w:rFonts w:ascii="宋体" w:hAnsi="宋体" w:eastAsia="宋体" w:cs="宋体"/>
          <w:sz w:val="28"/>
        </w:rPr>
        <w:t>“五位一体”总体布局、协调推进“四个全面”战略布局，党和国家事业发生历史性变革、取得历史性成就，中国特色社会主义进入了新的发展阶段。</w:t>
      </w:r>
      <w:r>
        <w:rPr>
          <w:rFonts w:ascii="宋体" w:hAnsi="宋体" w:eastAsia="宋体" w:cs="宋体"/>
          <w:sz w:val="28"/>
          <w:vertAlign w:val="superscript"/>
        </w:rPr>
        <w:t>【1</w:t>
      </w:r>
      <w:r>
        <w:rPr>
          <w:rFonts w:hint="eastAsia" w:ascii="宋体" w:hAnsi="宋体" w:eastAsia="宋体" w:cs="宋体"/>
          <w:sz w:val="28"/>
          <w:vertAlign w:val="superscript"/>
          <w:lang w:eastAsia="zh-CN"/>
        </w:rPr>
        <w:t>】</w:t>
      </w:r>
      <w:r>
        <w:rPr>
          <w:rFonts w:ascii="宋体" w:hAnsi="宋体" w:eastAsia="宋体" w:cs="宋体"/>
          <w:sz w:val="28"/>
        </w:rPr>
        <w:t>站在“两个一百年”的历史交汇点上，我们比历史上任何时期都更接近中华民族伟大复兴的目标，我们对高等教育的需要比以往任何时候都更加迫切，对科学知识和卓越人才的渴求比以往任何时候都更加强烈。重视教育就是重视未来，重视青年才能赢得未来。习近平总书记明确指出了今天青年学生的人生黄金时期同“两个一百年”奋斗目标的实现完全契合，广大青年学生要自觉把个人理想追求融入国家和民族的事业之中，勇做走在时代前列的奋进者、开拓者，书写无愧时代的青春之歌和精彩人生。</w:t>
      </w:r>
    </w:p>
    <w:p>
      <w:pPr>
        <w:pStyle w:val="17"/>
        <w:ind w:firstLine="420"/>
        <w:jc w:val="both"/>
      </w:pPr>
      <w:r>
        <w:rPr>
          <w:rFonts w:ascii="宋体" w:hAnsi="宋体" w:eastAsia="宋体" w:cs="宋体"/>
          <w:sz w:val="28"/>
        </w:rPr>
        <w:t>成才就是要用人类社会创造的优秀文明成果武装我们，使我们真正学有所长，学有所成，在校期间一定要珍惜时间，努力学好本领，掌握真才实学，否则就不可能真正实现个人的社会价值。</w:t>
      </w:r>
      <w:r>
        <w:rPr>
          <w:rFonts w:ascii="宋体" w:hAnsi="宋体" w:eastAsia="宋体" w:cs="宋体"/>
          <w:sz w:val="28"/>
          <w:vertAlign w:val="superscript"/>
        </w:rPr>
        <w:t>【2】</w:t>
      </w:r>
    </w:p>
    <w:p>
      <w:pPr>
        <w:pStyle w:val="17"/>
        <w:ind w:firstLine="420"/>
        <w:jc w:val="left"/>
      </w:pPr>
      <w:r>
        <w:rPr>
          <w:rFonts w:ascii="宋体" w:hAnsi="宋体" w:eastAsia="宋体" w:cs="宋体"/>
          <w:sz w:val="28"/>
        </w:rPr>
        <w:t>成才是时代的要求，人才是科技进步和经济社会发展最重要的源。在高新技术日新月异的当代,综合国力的竞争越来越突出地表现为人才、智力、资源的开发和使用。谁拥有人才优势,谁就拥有发展的优势。对人才的高度需求才是社会的大势所趋。</w:t>
      </w:r>
    </w:p>
    <w:p>
      <w:pPr>
        <w:pStyle w:val="17"/>
        <w:ind w:firstLine="420"/>
        <w:jc w:val="left"/>
      </w:pPr>
      <w:r>
        <w:rPr>
          <w:rFonts w:ascii="宋体" w:hAnsi="宋体" w:eastAsia="宋体" w:cs="宋体"/>
          <w:sz w:val="28"/>
        </w:rPr>
        <w:t>只有成为一个合格的人才,才能在事业上为社会做出贡献,才能获得社会给予自己的较好的劳动报酬,从而过上幸福的生活。要实现人生的社会理想, 更需要成为合格的人才。只有成为一个合格的人才,才能为社会做出较大的成绩,才能为社会理想的实现做出自己的一份贡献。</w:t>
      </w:r>
    </w:p>
    <w:p>
      <w:pPr>
        <w:pStyle w:val="2"/>
      </w:pPr>
      <w:bookmarkStart w:id="2" w:name="_Toc12900"/>
      <w:bookmarkStart w:id="3" w:name="_Toc22371"/>
      <w:r>
        <w:t>新时代青年如何成长成才</w:t>
      </w:r>
      <w:bookmarkEnd w:id="2"/>
      <w:bookmarkEnd w:id="3"/>
    </w:p>
    <w:p>
      <w:pPr>
        <w:pStyle w:val="3"/>
      </w:pPr>
      <w:bookmarkStart w:id="4" w:name="_Toc29093"/>
      <w:bookmarkStart w:id="5" w:name="_Toc25065"/>
      <w:r>
        <w:t>新时代青年成长成才需具备的基本品质</w:t>
      </w:r>
      <w:bookmarkEnd w:id="4"/>
      <w:bookmarkEnd w:id="5"/>
    </w:p>
    <w:p>
      <w:pPr>
        <w:pStyle w:val="4"/>
      </w:pPr>
      <w:bookmarkStart w:id="6" w:name="_Toc19827"/>
      <w:bookmarkStart w:id="7" w:name="_Toc10947"/>
      <w:r>
        <w:t>坚定的信念</w:t>
      </w:r>
      <w:bookmarkEnd w:id="6"/>
      <w:bookmarkEnd w:id="7"/>
    </w:p>
    <w:p>
      <w:pPr>
        <w:pStyle w:val="17"/>
        <w:spacing w:line="276" w:lineRule="auto"/>
        <w:ind w:firstLine="420"/>
        <w:jc w:val="left"/>
      </w:pPr>
      <w:r>
        <w:rPr>
          <w:rFonts w:ascii="宋体" w:hAnsi="宋体" w:eastAsia="宋体" w:cs="宋体"/>
          <w:sz w:val="28"/>
        </w:rPr>
        <w:t xml:space="preserve"> 理想信念是提高人生境界的保障，没有理想信念，一个人的境界就会失去核心和灵魂。理想信念能列‘各种社会意识形态以重大的影响，其中对道德的影响也最大和最为直接。一个有着崇高理想信念的人，其道德水平和人生境界也必然崇高。一个真正树立了共产主义理想信念的人，必然会力行“天下为公”和“全心全意为人民服务”的道德要求，达到“先天下之忧而忧，后天下之乐而乐”的高尚境界。</w:t>
      </w:r>
    </w:p>
    <w:p>
      <w:pPr>
        <w:pStyle w:val="4"/>
        <w:rPr>
          <w:b/>
          <w:szCs w:val="22"/>
        </w:rPr>
      </w:pPr>
      <w:bookmarkStart w:id="8" w:name="_Toc8266"/>
      <w:bookmarkStart w:id="9" w:name="_Toc6759"/>
      <w:r>
        <w:rPr>
          <w:b/>
          <w:szCs w:val="22"/>
        </w:rPr>
        <w:t>坚韧不拔的精神</w:t>
      </w:r>
      <w:bookmarkEnd w:id="8"/>
      <w:bookmarkEnd w:id="9"/>
    </w:p>
    <w:p>
      <w:pPr>
        <w:pStyle w:val="17"/>
        <w:spacing w:line="276" w:lineRule="auto"/>
        <w:ind w:firstLine="420"/>
        <w:jc w:val="left"/>
      </w:pPr>
      <w:r>
        <w:rPr>
          <w:rFonts w:ascii="宋体" w:hAnsi="宋体" w:eastAsia="宋体" w:cs="宋体"/>
          <w:sz w:val="28"/>
        </w:rPr>
        <w:t xml:space="preserve"> 青年人最不缺的就是三分钟热度，心绪来潮了，马上行动，三天后热情不见踪影。刚有了雄心壮志的时候，梦想就在眼前；三个月后梦想束之高阁；一年后梦想在天边。伟大成就源自厚积薄发和坚韧不拔，成功路上总会有荆棘困扰，最大的挑战其实就是自我的惰性。如果在年轻的时候就懂得坚韧不拔，懂得千里之行始于足下，懂得志存高远需要脚踏实地，则实为大幸，则实为可贵，则必然迈向成功。</w:t>
      </w:r>
    </w:p>
    <w:p>
      <w:pPr>
        <w:pStyle w:val="17"/>
        <w:spacing w:line="276" w:lineRule="auto"/>
        <w:jc w:val="left"/>
      </w:pPr>
    </w:p>
    <w:p>
      <w:pPr>
        <w:pStyle w:val="4"/>
        <w:rPr>
          <w:b/>
          <w:szCs w:val="22"/>
        </w:rPr>
      </w:pPr>
      <w:bookmarkStart w:id="10" w:name="_Toc7220"/>
      <w:bookmarkStart w:id="11" w:name="_Toc8852"/>
      <w:r>
        <w:rPr>
          <w:b/>
          <w:szCs w:val="22"/>
        </w:rPr>
        <w:t>良好的思想道德</w:t>
      </w:r>
      <w:bookmarkEnd w:id="10"/>
      <w:bookmarkEnd w:id="11"/>
    </w:p>
    <w:p>
      <w:pPr>
        <w:pStyle w:val="17"/>
        <w:ind w:firstLine="420"/>
        <w:jc w:val="left"/>
      </w:pPr>
      <w:r>
        <w:rPr>
          <w:rFonts w:ascii="宋体" w:hAnsi="宋体" w:eastAsia="宋体" w:cs="宋体"/>
          <w:sz w:val="28"/>
        </w:rPr>
        <w:t>思想道德素质是人们的道德认识和道德行为水平的综合反映，包含一个人的道德修养和道德情操，体现着一个人的道德水平和道德风貌，思想道德素质是人一生行为的大方向，是人之所以活在世上的意义的来源，是自己在驾驭世界之前所要具备的最基本素质。</w:t>
      </w:r>
    </w:p>
    <w:p>
      <w:pPr>
        <w:pStyle w:val="3"/>
      </w:pPr>
      <w:bookmarkStart w:id="12" w:name="_Toc5526"/>
      <w:bookmarkStart w:id="13" w:name="_Toc9133"/>
      <w:r>
        <w:t>新时代青年成长成才需具备的基本素质</w:t>
      </w:r>
      <w:bookmarkEnd w:id="12"/>
      <w:bookmarkEnd w:id="13"/>
    </w:p>
    <w:p>
      <w:pPr>
        <w:pStyle w:val="4"/>
      </w:pPr>
      <w:bookmarkStart w:id="14" w:name="_Toc17086"/>
      <w:bookmarkStart w:id="15" w:name="_Toc14006"/>
      <w:r>
        <w:t>人际交往能力</w:t>
      </w:r>
      <w:bookmarkEnd w:id="14"/>
      <w:bookmarkEnd w:id="15"/>
    </w:p>
    <w:p>
      <w:pPr>
        <w:pStyle w:val="17"/>
        <w:ind w:firstLine="420"/>
        <w:jc w:val="left"/>
      </w:pPr>
      <w:r>
        <w:rPr>
          <w:rFonts w:ascii="宋体" w:hAnsi="宋体" w:eastAsia="宋体" w:cs="宋体"/>
          <w:sz w:val="28"/>
        </w:rPr>
        <w:t>我们生活在社会圈子里，良好的人际交往是获得信息的途径，人际关系交往强的人，可以在关系网络中穿梭自如，凭借自己的交往水平和能力，解决许多别人难以解决的问题，大大提高工作效率。反之则举步维艰，处处碰壁。要想成才应该注重培养人际交往，每一个人都应该要求自己清楚了解人际交往的社会规则，一个善于沟通。一个能够有效运用各种社会关系资源的人，才能走向成功的彼岸。</w:t>
      </w:r>
    </w:p>
    <w:p>
      <w:pPr>
        <w:pStyle w:val="4"/>
        <w:rPr>
          <w:b/>
          <w:szCs w:val="22"/>
        </w:rPr>
      </w:pPr>
      <w:bookmarkStart w:id="16" w:name="_Toc3402"/>
      <w:bookmarkStart w:id="17" w:name="_Toc20752"/>
      <w:r>
        <w:rPr>
          <w:b/>
          <w:szCs w:val="22"/>
        </w:rPr>
        <w:t>适应能力</w:t>
      </w:r>
      <w:bookmarkEnd w:id="16"/>
      <w:bookmarkEnd w:id="17"/>
    </w:p>
    <w:p>
      <w:pPr>
        <w:pStyle w:val="17"/>
        <w:ind w:firstLine="420"/>
        <w:jc w:val="left"/>
      </w:pPr>
      <w:r>
        <w:rPr>
          <w:rFonts w:ascii="宋体" w:hAnsi="宋体" w:eastAsia="宋体" w:cs="宋体"/>
          <w:sz w:val="28"/>
        </w:rPr>
        <w:t>社会是变化发展的，尤其在知识经济发展的时代，一次性充电的学习习惯早不行了，只有适应各方面的变化，随时处于积极状态才不会被社会淘汰，适应变化跟着时代走，不落后，走在前沿。</w:t>
      </w:r>
    </w:p>
    <w:p>
      <w:pPr>
        <w:pStyle w:val="4"/>
        <w:rPr>
          <w:b/>
          <w:szCs w:val="22"/>
        </w:rPr>
      </w:pPr>
      <w:bookmarkStart w:id="18" w:name="_Toc7629"/>
      <w:bookmarkStart w:id="19" w:name="_Toc1100"/>
      <w:r>
        <w:rPr>
          <w:b/>
          <w:szCs w:val="22"/>
        </w:rPr>
        <w:t>个人整体能力</w:t>
      </w:r>
      <w:bookmarkEnd w:id="18"/>
      <w:bookmarkEnd w:id="19"/>
    </w:p>
    <w:p>
      <w:pPr>
        <w:pStyle w:val="17"/>
        <w:ind w:firstLine="420"/>
        <w:jc w:val="left"/>
      </w:pPr>
      <w:r>
        <w:rPr>
          <w:rFonts w:ascii="宋体" w:hAnsi="宋体" w:eastAsia="宋体" w:cs="宋体"/>
          <w:sz w:val="28"/>
        </w:rPr>
        <w:t>要想成为人才，就应该自己有比别人强的那面方为人才。各方面都比相对人才的人来讲要高的水平，有展示自己强的给大家看，让大家称赞并相信你。所以大学生必须学好专业知识那将是你强项，给人的开场白一样。</w:t>
      </w:r>
    </w:p>
    <w:p>
      <w:pPr>
        <w:pStyle w:val="4"/>
        <w:rPr>
          <w:b/>
          <w:szCs w:val="22"/>
        </w:rPr>
      </w:pPr>
      <w:bookmarkStart w:id="20" w:name="_Toc10565"/>
      <w:bookmarkStart w:id="21" w:name="_Toc11693"/>
      <w:r>
        <w:rPr>
          <w:b/>
          <w:szCs w:val="22"/>
        </w:rPr>
        <w:t>心理调节能力</w:t>
      </w:r>
      <w:bookmarkEnd w:id="20"/>
      <w:bookmarkEnd w:id="21"/>
    </w:p>
    <w:p>
      <w:pPr>
        <w:pStyle w:val="17"/>
        <w:ind w:firstLine="420"/>
        <w:jc w:val="left"/>
      </w:pPr>
      <w:r>
        <w:rPr>
          <w:rFonts w:ascii="宋体" w:hAnsi="宋体" w:eastAsia="宋体" w:cs="宋体"/>
          <w:sz w:val="28"/>
        </w:rPr>
        <w:t>因为在人生、学习道路等，难免会遇到挫折，没有一个良好的心里素质遇事就沮丧怎么成才。大学生成才必须具备较强的心里素质，懂得怎样的自我调节，变压力为动力。</w:t>
      </w:r>
    </w:p>
    <w:p>
      <w:pPr>
        <w:pStyle w:val="4"/>
        <w:rPr>
          <w:b/>
          <w:szCs w:val="22"/>
        </w:rPr>
      </w:pPr>
      <w:bookmarkStart w:id="22" w:name="_Toc26501"/>
      <w:bookmarkStart w:id="23" w:name="_Toc19073"/>
      <w:r>
        <w:rPr>
          <w:b/>
          <w:szCs w:val="22"/>
        </w:rPr>
        <w:t>独立能力</w:t>
      </w:r>
      <w:bookmarkEnd w:id="22"/>
      <w:bookmarkEnd w:id="23"/>
    </w:p>
    <w:p>
      <w:pPr>
        <w:pStyle w:val="17"/>
        <w:ind w:firstLine="420"/>
        <w:jc w:val="left"/>
      </w:pPr>
      <w:r>
        <w:rPr>
          <w:rFonts w:ascii="宋体" w:hAnsi="宋体" w:eastAsia="宋体" w:cs="宋体"/>
          <w:sz w:val="28"/>
        </w:rPr>
        <w:t>现在社会许多孩子都是爸妈的宝，在父母的呵护下长大，所以大学生成才要学会生活的独立。思想的独立不要老看同学做什么你才去做，要有自己思考的能力。</w:t>
      </w:r>
    </w:p>
    <w:p>
      <w:pPr>
        <w:pStyle w:val="4"/>
        <w:rPr>
          <w:b/>
          <w:szCs w:val="22"/>
        </w:rPr>
      </w:pPr>
      <w:bookmarkStart w:id="24" w:name="_Toc955"/>
      <w:bookmarkStart w:id="25" w:name="_Toc17038"/>
      <w:r>
        <w:rPr>
          <w:b/>
          <w:szCs w:val="22"/>
        </w:rPr>
        <w:t>组织管理能力</w:t>
      </w:r>
      <w:bookmarkEnd w:id="24"/>
      <w:bookmarkEnd w:id="25"/>
    </w:p>
    <w:p>
      <w:pPr>
        <w:pStyle w:val="17"/>
        <w:ind w:firstLine="420"/>
        <w:jc w:val="left"/>
      </w:pPr>
      <w:r>
        <w:rPr>
          <w:rFonts w:ascii="宋体" w:hAnsi="宋体" w:eastAsia="宋体" w:cs="宋体"/>
          <w:sz w:val="28"/>
        </w:rPr>
        <w:t>要想作为佼佼者，你必须学会组织能力，一个人的力量是有限的你必须学会组织好你的人铸就大家的成才你才算成才，你里面同时还应具备团队意识能力，同时还要较好的表达能力，才能组织的起来。</w:t>
      </w:r>
    </w:p>
    <w:p>
      <w:pPr>
        <w:pStyle w:val="17"/>
        <w:jc w:val="left"/>
      </w:pPr>
      <w:r>
        <w:rPr>
          <w:rFonts w:ascii="宋体" w:hAnsi="宋体" w:eastAsia="宋体" w:cs="宋体"/>
          <w:sz w:val="28"/>
        </w:rPr>
        <w:t xml:space="preserve">    总之能力的培养很重要即使你不具有可以拿其他来补，人不是十全十美。大学生得成功在能力培养方面或其他方面走向成功，都需要实践在实践中不断探索进步，实践出真理。把理论付诸实践，相信自己，没有做不到的只有想不到的。成功也许远也许近，关键看自己如何做。</w:t>
      </w:r>
    </w:p>
    <w:p>
      <w:pPr>
        <w:pStyle w:val="2"/>
      </w:pPr>
      <w:bookmarkStart w:id="26" w:name="_Toc32622"/>
      <w:bookmarkStart w:id="27" w:name="_Toc25210"/>
      <w:r>
        <w:t>青年成长成才的影响因素的探究</w:t>
      </w:r>
      <w:bookmarkEnd w:id="26"/>
      <w:bookmarkEnd w:id="27"/>
    </w:p>
    <w:p>
      <w:pPr>
        <w:pStyle w:val="3"/>
      </w:pPr>
      <w:bookmarkStart w:id="28" w:name="_Toc23492"/>
      <w:bookmarkStart w:id="29" w:name="_Toc20330"/>
      <w:r>
        <w:t>主观因素</w:t>
      </w:r>
      <w:bookmarkEnd w:id="28"/>
      <w:bookmarkEnd w:id="29"/>
    </w:p>
    <w:p>
      <w:pPr>
        <w:pStyle w:val="4"/>
      </w:pPr>
      <w:bookmarkStart w:id="30" w:name="_Toc22307"/>
      <w:bookmarkStart w:id="31" w:name="_Toc13235"/>
      <w:r>
        <w:t>理想信念、人生目标的态度影响成长成才</w:t>
      </w:r>
      <w:bookmarkEnd w:id="30"/>
      <w:bookmarkEnd w:id="31"/>
    </w:p>
    <w:p>
      <w:pPr>
        <w:pStyle w:val="17"/>
        <w:ind w:firstLine="420"/>
        <w:jc w:val="left"/>
      </w:pPr>
      <w:r>
        <w:rPr>
          <w:rFonts w:ascii="宋体" w:hAnsi="宋体" w:eastAsia="宋体" w:cs="宋体"/>
          <w:sz w:val="28"/>
        </w:rPr>
        <w:t xml:space="preserve"> 理想信念处于人们主观精神世界的核心地位，理想信念教育又是大学生思想政治教育的关键。远大的理想、崇高的信念能点燃人生的激情，激发人们的才智，激励人们奋发向上。古今中外，凡是为人类进步事业作出杰出贡献的人，无不具有远大的理想、崇高的信念。青年时期，是播种理想、确立信念的黄金时期，是规划未来、设计人生的关键阶段。确立怎样的理想和信念，直接关系到青年大学生度过什么样的人生，从根本上决定青年大学生人生的意义与价值。</w:t>
      </w:r>
    </w:p>
    <w:p>
      <w:pPr>
        <w:pStyle w:val="17"/>
        <w:ind w:firstLine="420"/>
        <w:jc w:val="left"/>
      </w:pPr>
      <w:r>
        <w:rPr>
          <w:rFonts w:ascii="宋体" w:hAnsi="宋体" w:eastAsia="宋体" w:cs="宋体"/>
          <w:sz w:val="28"/>
        </w:rPr>
        <w:t xml:space="preserve"> 在对自己人生目标的态度的调查中，如</w:t>
      </w:r>
      <w:r>
        <w:rPr>
          <w:rFonts w:hint="default" w:ascii="宋体" w:hAnsi="宋体" w:eastAsia="宋体" w:cs="宋体"/>
          <w:sz w:val="28"/>
        </w:rPr>
        <w:fldChar w:fldCharType="begin"/>
      </w:r>
      <w:r>
        <w:rPr>
          <w:rFonts w:hint="default" w:ascii="宋体" w:hAnsi="宋体" w:eastAsia="宋体" w:cs="宋体"/>
          <w:sz w:val="28"/>
        </w:rPr>
        <w:instrText xml:space="preserve"> REF _Ref25278 \h </w:instrText>
      </w:r>
      <w:r>
        <w:rPr>
          <w:rFonts w:hint="default" w:ascii="宋体" w:hAnsi="宋体" w:eastAsia="宋体" w:cs="宋体"/>
          <w:sz w:val="28"/>
        </w:rPr>
        <w:fldChar w:fldCharType="separate"/>
      </w:r>
      <w:r>
        <w:rPr>
          <w:rFonts w:ascii="宋体" w:hAnsi="宋体" w:eastAsia="宋体" w:cs="宋体"/>
          <w:sz w:val="28"/>
        </w:rPr>
        <w:t>图 I</w:t>
      </w:r>
      <w:r>
        <w:rPr>
          <w:rFonts w:hint="default" w:ascii="宋体" w:hAnsi="宋体" w:eastAsia="宋体" w:cs="宋体"/>
          <w:sz w:val="28"/>
        </w:rPr>
        <w:fldChar w:fldCharType="end"/>
      </w:r>
      <w:r>
        <w:rPr>
          <w:rFonts w:ascii="宋体" w:hAnsi="宋体" w:eastAsia="宋体" w:cs="宋体"/>
          <w:sz w:val="28"/>
        </w:rPr>
        <w:t>,已经开始付诸行动占28.7%，有目标，而且比较清晰占26.7% ，有目标，但是不太清晰占42.6%， 没有目标，而且从来没有考虑过占2.0%。由上看出还有很大一部分人有模糊的目标，这也是我们成才道路上的一道坎。我们要准确的认知自己的目标，并且确定方向，一鼓作气为目标方向而奋斗。</w:t>
      </w:r>
    </w:p>
    <w:p>
      <w:pPr>
        <w:pStyle w:val="6"/>
        <w:jc w:val="center"/>
        <w:rPr>
          <w:rFonts w:hint="eastAsia" w:eastAsia="微软雅黑"/>
          <w:lang w:val="en-US" w:eastAsia="zh-CN"/>
        </w:rPr>
      </w:pPr>
      <w:bookmarkStart w:id="32" w:name="_Ref25278"/>
      <w:r>
        <w:t xml:space="preserve">图 </w:t>
      </w:r>
      <w:r>
        <w:fldChar w:fldCharType="begin"/>
      </w:r>
      <w:r>
        <w:instrText xml:space="preserve"> SEQ 图 \* ROMAN </w:instrText>
      </w:r>
      <w:r>
        <w:fldChar w:fldCharType="separate"/>
      </w:r>
      <w:r>
        <w:t>I</w:t>
      </w:r>
      <w:r>
        <w:fldChar w:fldCharType="end"/>
      </w:r>
      <w:bookmarkEnd w:id="32"/>
      <w:r>
        <w:drawing>
          <wp:anchor distT="0" distB="0" distL="114300" distR="114300" simplePos="0" relativeHeight="251658240" behindDoc="0" locked="0" layoutInCell="1" allowOverlap="1">
            <wp:simplePos x="0" y="0"/>
            <wp:positionH relativeFrom="column">
              <wp:posOffset>532130</wp:posOffset>
            </wp:positionH>
            <wp:positionV relativeFrom="paragraph">
              <wp:posOffset>68580</wp:posOffset>
            </wp:positionV>
            <wp:extent cx="6713855" cy="4153535"/>
            <wp:effectExtent l="0" t="0" r="6985" b="698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6713855" cy="4153535"/>
                    </a:xfrm>
                    <a:prstGeom prst="rect">
                      <a:avLst/>
                    </a:prstGeom>
                    <a:noFill/>
                    <a:ln w="9525">
                      <a:noFill/>
                    </a:ln>
                  </pic:spPr>
                </pic:pic>
              </a:graphicData>
            </a:graphic>
          </wp:anchor>
        </w:drawing>
      </w:r>
    </w:p>
    <w:p>
      <w:pPr>
        <w:pStyle w:val="4"/>
        <w:rPr>
          <w:b/>
          <w:szCs w:val="22"/>
        </w:rPr>
      </w:pPr>
      <w:bookmarkStart w:id="33" w:name="_Toc30677"/>
      <w:bookmarkStart w:id="34" w:name="_Toc4607"/>
      <w:r>
        <w:rPr>
          <w:b/>
          <w:szCs w:val="22"/>
        </w:rPr>
        <w:t>学生的主观能动性影响成长成才</w:t>
      </w:r>
      <w:bookmarkEnd w:id="33"/>
      <w:bookmarkEnd w:id="34"/>
    </w:p>
    <w:p>
      <w:pPr>
        <w:pStyle w:val="17"/>
        <w:ind w:firstLine="420"/>
        <w:jc w:val="left"/>
      </w:pPr>
      <w:r>
        <w:rPr>
          <w:rFonts w:ascii="宋体" w:hAnsi="宋体" w:eastAsia="宋体" w:cs="宋体"/>
          <w:sz w:val="28"/>
        </w:rPr>
        <w:t>在对于自己去做一件事时比较注重哪些因素的调查，如</w:t>
      </w:r>
      <w:r>
        <w:rPr>
          <w:rFonts w:ascii="宋体" w:hAnsi="宋体" w:eastAsia="宋体" w:cs="宋体"/>
          <w:sz w:val="28"/>
        </w:rPr>
        <w:fldChar w:fldCharType="begin"/>
      </w:r>
      <w:r>
        <w:rPr>
          <w:rFonts w:ascii="宋体" w:hAnsi="宋体" w:eastAsia="宋体" w:cs="宋体"/>
          <w:sz w:val="28"/>
        </w:rPr>
        <w:instrText xml:space="preserve"> REF _Ref25336 \h </w:instrText>
      </w:r>
      <w:r>
        <w:rPr>
          <w:rFonts w:ascii="宋体" w:hAnsi="宋体" w:eastAsia="宋体" w:cs="宋体"/>
          <w:sz w:val="28"/>
        </w:rPr>
        <w:fldChar w:fldCharType="separate"/>
      </w:r>
      <w:r>
        <w:rPr>
          <w:rFonts w:ascii="宋体" w:hAnsi="宋体" w:eastAsia="宋体" w:cs="宋体"/>
          <w:sz w:val="28"/>
        </w:rPr>
        <w:t>图 II</w:t>
      </w:r>
      <w:r>
        <w:rPr>
          <w:rFonts w:ascii="宋体" w:hAnsi="宋体" w:eastAsia="宋体" w:cs="宋体"/>
          <w:sz w:val="28"/>
        </w:rPr>
        <w:fldChar w:fldCharType="end"/>
      </w:r>
      <w:r>
        <w:rPr>
          <w:rFonts w:ascii="宋体" w:hAnsi="宋体" w:eastAsia="宋体" w:cs="宋体"/>
          <w:sz w:val="28"/>
        </w:rPr>
        <w:t>,，53.0%的人注重自己的精神向往、26.2%的人注重实际的好处、5.0%的人注重别人的期望、15.8%的人注重道德、法律上的正当性。由以上数据我们可以看到大部分的人更加注重自己的主观臆想，自己的主观能动性比较强，只是一个好的主观因素的开端，对于学生的创新性有较好的主观环境。</w:t>
      </w:r>
    </w:p>
    <w:p>
      <w:pPr>
        <w:pStyle w:val="6"/>
        <w:jc w:val="center"/>
      </w:pPr>
      <w:bookmarkStart w:id="35" w:name="_Ref25336"/>
      <w:r>
        <w:t xml:space="preserve">图 </w:t>
      </w:r>
      <w:r>
        <w:fldChar w:fldCharType="begin"/>
      </w:r>
      <w:r>
        <w:instrText xml:space="preserve"> SEQ 图 \* ROMAN </w:instrText>
      </w:r>
      <w:r>
        <w:fldChar w:fldCharType="separate"/>
      </w:r>
      <w:r>
        <w:t>II</w:t>
      </w:r>
      <w:r>
        <w:fldChar w:fldCharType="end"/>
      </w:r>
      <w:bookmarkEnd w:id="35"/>
      <w:r>
        <w:drawing>
          <wp:anchor distT="0" distB="0" distL="114300" distR="114300" simplePos="0" relativeHeight="251659264" behindDoc="0" locked="0" layoutInCell="1" allowOverlap="1">
            <wp:simplePos x="0" y="0"/>
            <wp:positionH relativeFrom="column">
              <wp:posOffset>532130</wp:posOffset>
            </wp:positionH>
            <wp:positionV relativeFrom="paragraph">
              <wp:posOffset>60960</wp:posOffset>
            </wp:positionV>
            <wp:extent cx="6713855" cy="3807460"/>
            <wp:effectExtent l="0" t="0" r="6985" b="254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6713855" cy="3807460"/>
                    </a:xfrm>
                    <a:prstGeom prst="rect">
                      <a:avLst/>
                    </a:prstGeom>
                    <a:noFill/>
                    <a:ln w="9525">
                      <a:noFill/>
                    </a:ln>
                  </pic:spPr>
                </pic:pic>
              </a:graphicData>
            </a:graphic>
          </wp:anchor>
        </w:drawing>
      </w:r>
    </w:p>
    <w:p>
      <w:pPr>
        <w:pStyle w:val="4"/>
        <w:rPr>
          <w:b/>
          <w:szCs w:val="22"/>
        </w:rPr>
      </w:pPr>
      <w:bookmarkStart w:id="36" w:name="_Toc20864"/>
      <w:bookmarkStart w:id="37" w:name="_Toc28757"/>
      <w:r>
        <w:rPr>
          <w:b/>
          <w:szCs w:val="22"/>
        </w:rPr>
        <w:t>学生的明辨是非能力、正义责任感影响成长成才</w:t>
      </w:r>
      <w:bookmarkEnd w:id="36"/>
      <w:bookmarkEnd w:id="37"/>
    </w:p>
    <w:p>
      <w:pPr>
        <w:pStyle w:val="17"/>
        <w:ind w:firstLine="420"/>
        <w:jc w:val="left"/>
        <w:rPr>
          <w:rFonts w:ascii="宋体" w:hAnsi="宋体" w:eastAsia="宋体" w:cs="宋体"/>
          <w:sz w:val="28"/>
        </w:rPr>
      </w:pPr>
      <w:r>
        <w:rPr>
          <w:rFonts w:ascii="宋体" w:hAnsi="宋体" w:eastAsia="宋体" w:cs="宋体"/>
          <w:sz w:val="28"/>
        </w:rPr>
        <w:t>在对阻碍大学生成才的因素调查如</w:t>
      </w:r>
      <w:r>
        <w:rPr>
          <w:rFonts w:ascii="宋体" w:hAnsi="宋体" w:eastAsia="宋体" w:cs="宋体"/>
          <w:sz w:val="28"/>
        </w:rPr>
        <w:fldChar w:fldCharType="begin"/>
      </w:r>
      <w:r>
        <w:rPr>
          <w:rFonts w:ascii="宋体" w:hAnsi="宋体" w:eastAsia="宋体" w:cs="宋体"/>
          <w:sz w:val="28"/>
        </w:rPr>
        <w:instrText xml:space="preserve"> REF _Ref25461 \h </w:instrText>
      </w:r>
      <w:r>
        <w:rPr>
          <w:rFonts w:ascii="宋体" w:hAnsi="宋体" w:eastAsia="宋体" w:cs="宋体"/>
          <w:sz w:val="28"/>
        </w:rPr>
        <w:fldChar w:fldCharType="separate"/>
      </w:r>
      <w:r>
        <w:rPr>
          <w:rFonts w:ascii="宋体" w:hAnsi="宋体" w:eastAsia="宋体" w:cs="宋体"/>
          <w:sz w:val="28"/>
        </w:rPr>
        <w:t>图 III</w:t>
      </w:r>
      <w:r>
        <w:rPr>
          <w:rFonts w:ascii="宋体" w:hAnsi="宋体" w:eastAsia="宋体" w:cs="宋体"/>
          <w:sz w:val="28"/>
        </w:rPr>
        <w:fldChar w:fldCharType="end"/>
      </w:r>
      <w:r>
        <w:rPr>
          <w:rFonts w:ascii="宋体" w:hAnsi="宋体" w:eastAsia="宋体" w:cs="宋体"/>
          <w:sz w:val="28"/>
        </w:rPr>
        <w:t>,中，认为拜金主义的占17.4%， 急功近利占22.4%，追逐权力、逃避责任占19.4%， 缺乏诚信占18.0%， 精神空虚、没有信仰占22.8%。可以看出大家对于各种不良影响因素有着大概持平的比例，从侧面反映了大家对于正确的思想有着明确的辨别能力，我们了解到，我们成才道路任重道远，还需要我们自律自省，才能做好自己。</w:t>
      </w:r>
    </w:p>
    <w:p>
      <w:pPr>
        <w:pStyle w:val="6"/>
        <w:ind w:firstLine="420"/>
        <w:jc w:val="center"/>
        <w:rPr>
          <w:rFonts w:ascii="宋体" w:hAnsi="宋体" w:eastAsia="宋体" w:cs="宋体"/>
          <w:sz w:val="28"/>
        </w:rPr>
      </w:pPr>
      <w:bookmarkStart w:id="38" w:name="_Ref25461"/>
      <w:r>
        <w:t xml:space="preserve">图 </w:t>
      </w:r>
      <w:r>
        <w:fldChar w:fldCharType="begin"/>
      </w:r>
      <w:r>
        <w:instrText xml:space="preserve"> SEQ 图 \* ROMAN </w:instrText>
      </w:r>
      <w:r>
        <w:fldChar w:fldCharType="separate"/>
      </w:r>
      <w:r>
        <w:t>III</w:t>
      </w:r>
      <w:r>
        <w:fldChar w:fldCharType="end"/>
      </w:r>
      <w:bookmarkEnd w:id="38"/>
      <w:r>
        <w:drawing>
          <wp:anchor distT="0" distB="0" distL="114300" distR="114300" simplePos="0" relativeHeight="251660288" behindDoc="0" locked="0" layoutInCell="1" allowOverlap="1">
            <wp:simplePos x="0" y="0"/>
            <wp:positionH relativeFrom="column">
              <wp:posOffset>665480</wp:posOffset>
            </wp:positionH>
            <wp:positionV relativeFrom="paragraph">
              <wp:posOffset>60960</wp:posOffset>
            </wp:positionV>
            <wp:extent cx="6706235" cy="4161155"/>
            <wp:effectExtent l="0" t="0" r="14605" b="14605"/>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6706235" cy="4161155"/>
                    </a:xfrm>
                    <a:prstGeom prst="rect">
                      <a:avLst/>
                    </a:prstGeom>
                    <a:noFill/>
                    <a:ln w="9525">
                      <a:noFill/>
                    </a:ln>
                  </pic:spPr>
                </pic:pic>
              </a:graphicData>
            </a:graphic>
          </wp:anchor>
        </w:drawing>
      </w:r>
    </w:p>
    <w:p>
      <w:pPr>
        <w:pStyle w:val="4"/>
        <w:rPr>
          <w:b/>
          <w:szCs w:val="22"/>
        </w:rPr>
      </w:pPr>
      <w:bookmarkStart w:id="39" w:name="_Toc29865"/>
      <w:bookmarkStart w:id="40" w:name="_Toc22928"/>
      <w:r>
        <w:rPr>
          <w:b/>
          <w:szCs w:val="22"/>
        </w:rPr>
        <w:t>学生的自我调节适应能力影响成长成才</w:t>
      </w:r>
      <w:bookmarkEnd w:id="39"/>
      <w:bookmarkEnd w:id="40"/>
    </w:p>
    <w:p>
      <w:pPr>
        <w:pStyle w:val="17"/>
        <w:ind w:firstLine="420"/>
        <w:jc w:val="left"/>
      </w:pPr>
      <w:r>
        <w:rPr>
          <w:rFonts w:ascii="宋体" w:hAnsi="宋体" w:eastAsia="宋体" w:cs="宋体"/>
          <w:sz w:val="28"/>
        </w:rPr>
        <w:t>在对如何调节自己的负面情绪的调如</w:t>
      </w:r>
      <w:r>
        <w:rPr>
          <w:rFonts w:ascii="宋体" w:hAnsi="宋体" w:eastAsia="宋体" w:cs="宋体"/>
          <w:sz w:val="28"/>
        </w:rPr>
        <w:fldChar w:fldCharType="begin"/>
      </w:r>
      <w:r>
        <w:rPr>
          <w:rFonts w:ascii="宋体" w:hAnsi="宋体" w:eastAsia="宋体" w:cs="宋体"/>
          <w:sz w:val="28"/>
        </w:rPr>
        <w:instrText xml:space="preserve"> REF _Ref25549 \h </w:instrText>
      </w:r>
      <w:r>
        <w:rPr>
          <w:rFonts w:ascii="宋体" w:hAnsi="宋体" w:eastAsia="宋体" w:cs="宋体"/>
          <w:sz w:val="28"/>
        </w:rPr>
        <w:fldChar w:fldCharType="separate"/>
      </w:r>
      <w:r>
        <w:rPr>
          <w:rFonts w:ascii="宋体" w:hAnsi="宋体" w:eastAsia="宋体" w:cs="宋体"/>
          <w:sz w:val="28"/>
        </w:rPr>
        <w:t>图 IV</w:t>
      </w:r>
      <w:r>
        <w:rPr>
          <w:rFonts w:ascii="宋体" w:hAnsi="宋体" w:eastAsia="宋体" w:cs="宋体"/>
          <w:sz w:val="28"/>
        </w:rPr>
        <w:fldChar w:fldCharType="end"/>
      </w:r>
      <w:r>
        <w:rPr>
          <w:rFonts w:ascii="宋体" w:hAnsi="宋体" w:eastAsia="宋体" w:cs="宋体"/>
          <w:sz w:val="28"/>
        </w:rPr>
        <w:t>,查中，38.1%的人选择转移注意力、30.2%的人选择向朋友倾诉、6.4%的人选择大声发泄、13.3%的人选择憋在心里、8.4%的人选择咨询心理老师、3.6%的人是其他的方法。通过数据可以看到大部分的人都有自己的调节方法，并且都能正确快速的调整好自己的心态和情绪，这对于大学生的心理健康有着良好的发展方向。</w:t>
      </w:r>
    </w:p>
    <w:p>
      <w:pPr>
        <w:pStyle w:val="6"/>
        <w:jc w:val="center"/>
        <w:rPr>
          <w:rFonts w:hint="eastAsia" w:eastAsia="微软雅黑"/>
          <w:lang w:eastAsia="zh-CN"/>
        </w:rPr>
      </w:pPr>
      <w:bookmarkStart w:id="41" w:name="_Ref25549"/>
      <w:r>
        <w:t xml:space="preserve">图 </w:t>
      </w:r>
      <w:r>
        <w:fldChar w:fldCharType="begin"/>
      </w:r>
      <w:r>
        <w:instrText xml:space="preserve"> SEQ 图 \* ROMAN </w:instrText>
      </w:r>
      <w:r>
        <w:fldChar w:fldCharType="separate"/>
      </w:r>
      <w:r>
        <w:t>IV</w:t>
      </w:r>
      <w:r>
        <w:fldChar w:fldCharType="end"/>
      </w:r>
      <w:bookmarkEnd w:id="41"/>
      <w:r>
        <w:drawing>
          <wp:anchor distT="0" distB="0" distL="114300" distR="114300" simplePos="0" relativeHeight="251661312" behindDoc="0" locked="0" layoutInCell="1" allowOverlap="1">
            <wp:simplePos x="0" y="0"/>
            <wp:positionH relativeFrom="column">
              <wp:posOffset>532130</wp:posOffset>
            </wp:positionH>
            <wp:positionV relativeFrom="paragraph">
              <wp:posOffset>45720</wp:posOffset>
            </wp:positionV>
            <wp:extent cx="6706235" cy="4191635"/>
            <wp:effectExtent l="0" t="0" r="14605" b="14605"/>
            <wp:wrapTopAndBottom/>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6706235" cy="4191635"/>
                    </a:xfrm>
                    <a:prstGeom prst="rect">
                      <a:avLst/>
                    </a:prstGeom>
                    <a:noFill/>
                    <a:ln w="9525">
                      <a:noFill/>
                    </a:ln>
                  </pic:spPr>
                </pic:pic>
              </a:graphicData>
            </a:graphic>
          </wp:anchor>
        </w:drawing>
      </w:r>
    </w:p>
    <w:p>
      <w:pPr>
        <w:pStyle w:val="3"/>
      </w:pPr>
      <w:bookmarkStart w:id="42" w:name="_Toc4192"/>
      <w:bookmarkStart w:id="43" w:name="_Toc341"/>
      <w:r>
        <w:t>客观因素</w:t>
      </w:r>
      <w:bookmarkEnd w:id="42"/>
      <w:bookmarkEnd w:id="43"/>
    </w:p>
    <w:p>
      <w:pPr>
        <w:pStyle w:val="4"/>
      </w:pPr>
      <w:bookmarkStart w:id="44" w:name="_Toc11410"/>
      <w:bookmarkStart w:id="45" w:name="_Toc20247"/>
      <w:r>
        <w:t>家庭因素</w:t>
      </w:r>
      <w:bookmarkEnd w:id="44"/>
      <w:bookmarkEnd w:id="45"/>
    </w:p>
    <w:p>
      <w:pPr>
        <w:pStyle w:val="17"/>
        <w:jc w:val="left"/>
      </w:pPr>
      <w:r>
        <w:rPr>
          <w:rFonts w:ascii="宋体" w:hAnsi="宋体" w:eastAsia="宋体" w:cs="宋体"/>
          <w:sz w:val="28"/>
        </w:rPr>
        <w:t xml:space="preserve">    在对“对青少年成长成才影响最大因素是什么？”一题的选择中，如</w:t>
      </w:r>
      <w:r>
        <w:rPr>
          <w:rFonts w:ascii="宋体" w:hAnsi="宋体" w:eastAsia="宋体" w:cs="宋体"/>
          <w:sz w:val="28"/>
        </w:rPr>
        <w:fldChar w:fldCharType="begin"/>
      </w:r>
      <w:r>
        <w:rPr>
          <w:rFonts w:ascii="宋体" w:hAnsi="宋体" w:eastAsia="宋体" w:cs="宋体"/>
          <w:sz w:val="28"/>
        </w:rPr>
        <w:instrText xml:space="preserve"> REF _Ref25591 \h </w:instrText>
      </w:r>
      <w:r>
        <w:rPr>
          <w:rFonts w:ascii="宋体" w:hAnsi="宋体" w:eastAsia="宋体" w:cs="宋体"/>
          <w:sz w:val="28"/>
        </w:rPr>
        <w:fldChar w:fldCharType="separate"/>
      </w:r>
      <w:r>
        <w:rPr>
          <w:rFonts w:ascii="宋体" w:hAnsi="宋体" w:eastAsia="宋体" w:cs="宋体"/>
          <w:sz w:val="28"/>
        </w:rPr>
        <w:t>图 V</w:t>
      </w:r>
      <w:r>
        <w:rPr>
          <w:rFonts w:ascii="宋体" w:hAnsi="宋体" w:eastAsia="宋体" w:cs="宋体"/>
          <w:sz w:val="28"/>
        </w:rPr>
        <w:fldChar w:fldCharType="end"/>
      </w:r>
      <w:r>
        <w:rPr>
          <w:rFonts w:ascii="宋体" w:hAnsi="宋体" w:eastAsia="宋体" w:cs="宋体"/>
          <w:sz w:val="28"/>
        </w:rPr>
        <w:t>,家庭占47.0%、学校占10.9%、社会占23.8%、个人18.3%。可见家庭对于大学生的成长、成才的影响起到非常大的作用。家庭是能够影响大学生成长、成才的关键因素之一。家庭日常生活中的潜移默化影响涉及到性格、学习动机、专业选择、情感等等方面。</w:t>
      </w:r>
    </w:p>
    <w:p>
      <w:pPr>
        <w:pStyle w:val="17"/>
        <w:jc w:val="center"/>
      </w:pPr>
      <w:r>
        <w:drawing>
          <wp:inline distT="0" distB="0" distL="114300" distR="114300">
            <wp:extent cx="6706235" cy="4176395"/>
            <wp:effectExtent l="0" t="0" r="14605" b="146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6706235" cy="4176395"/>
                    </a:xfrm>
                    <a:prstGeom prst="rect">
                      <a:avLst/>
                    </a:prstGeom>
                    <a:noFill/>
                    <a:ln w="9525">
                      <a:noFill/>
                    </a:ln>
                  </pic:spPr>
                </pic:pic>
              </a:graphicData>
            </a:graphic>
          </wp:inline>
        </w:drawing>
      </w:r>
    </w:p>
    <w:p>
      <w:pPr>
        <w:pStyle w:val="6"/>
        <w:jc w:val="center"/>
      </w:pPr>
      <w:bookmarkStart w:id="46" w:name="_Ref25591"/>
      <w:r>
        <w:t xml:space="preserve">图 </w:t>
      </w:r>
      <w:r>
        <w:fldChar w:fldCharType="begin"/>
      </w:r>
      <w:r>
        <w:instrText xml:space="preserve"> SEQ 图 \* ROMAN </w:instrText>
      </w:r>
      <w:r>
        <w:fldChar w:fldCharType="separate"/>
      </w:r>
      <w:r>
        <w:t>V</w:t>
      </w:r>
      <w:r>
        <w:fldChar w:fldCharType="end"/>
      </w:r>
      <w:bookmarkEnd w:id="46"/>
    </w:p>
    <w:p>
      <w:pPr>
        <w:pStyle w:val="4"/>
        <w:rPr>
          <w:b/>
          <w:szCs w:val="22"/>
        </w:rPr>
      </w:pPr>
      <w:bookmarkStart w:id="47" w:name="_Toc19751"/>
      <w:bookmarkStart w:id="48" w:name="_Toc2127"/>
      <w:r>
        <w:rPr>
          <w:b/>
          <w:szCs w:val="22"/>
        </w:rPr>
        <w:t>社会因素</w:t>
      </w:r>
      <w:bookmarkEnd w:id="47"/>
      <w:bookmarkEnd w:id="48"/>
    </w:p>
    <w:p>
      <w:pPr>
        <w:pStyle w:val="17"/>
        <w:ind w:left="1680"/>
        <w:jc w:val="left"/>
      </w:pPr>
    </w:p>
    <w:p>
      <w:pPr>
        <w:pStyle w:val="17"/>
        <w:ind w:firstLine="420"/>
        <w:jc w:val="left"/>
      </w:pPr>
      <w:r>
        <w:rPr>
          <w:rFonts w:ascii="宋体" w:hAnsi="宋体" w:eastAsia="宋体" w:cs="宋体"/>
          <w:sz w:val="28"/>
        </w:rPr>
        <w:t xml:space="preserve"> 社会是一个大染缸，现在信息的传播手段越来越多，速度也越来越快，容量越来越大，大学生获取信息更加的容易，也更加容易受一些不正当的信息的影响。尤其是一些社会因素，会对大学生造成很深的影响。社会是具体的，是复杂的。大学生身处一定的社会环境，必然会受到各种社会存在的影响，尤其是当今社会，网络信息通道非常发达，对大学生有着潜移默化的作用。社会对大学生造成怎样的影响很大程度上取决于大学生自身对于社会上的精神汲取和环境适应以及判断正确的主观能动性。</w:t>
      </w:r>
    </w:p>
    <w:p>
      <w:pPr>
        <w:pStyle w:val="4"/>
        <w:rPr>
          <w:b/>
          <w:szCs w:val="22"/>
        </w:rPr>
      </w:pPr>
      <w:bookmarkStart w:id="49" w:name="_Toc601"/>
      <w:bookmarkStart w:id="50" w:name="_Toc24606"/>
      <w:r>
        <w:rPr>
          <w:b/>
          <w:szCs w:val="22"/>
        </w:rPr>
        <w:t>学校因素</w:t>
      </w:r>
      <w:bookmarkEnd w:id="49"/>
      <w:bookmarkEnd w:id="50"/>
    </w:p>
    <w:p>
      <w:pPr>
        <w:pStyle w:val="17"/>
        <w:ind w:firstLine="420"/>
        <w:jc w:val="left"/>
      </w:pPr>
      <w:r>
        <w:rPr>
          <w:rFonts w:ascii="宋体" w:hAnsi="宋体" w:eastAsia="宋体" w:cs="宋体"/>
          <w:sz w:val="28"/>
        </w:rPr>
        <w:t xml:space="preserve"> 校园文化氛围、学风情况、生活环境、师资力量、同学舍友、社团组织、配套设施、社会实践等等都会对大学生造成影响。在对大学里一般充当什么角色的调查中，如</w:t>
      </w:r>
      <w:r>
        <w:rPr>
          <w:rFonts w:ascii="宋体" w:hAnsi="宋体" w:eastAsia="宋体" w:cs="宋体"/>
          <w:sz w:val="28"/>
        </w:rPr>
        <w:fldChar w:fldCharType="begin"/>
      </w:r>
      <w:r>
        <w:rPr>
          <w:rFonts w:ascii="宋体" w:hAnsi="宋体" w:eastAsia="宋体" w:cs="宋体"/>
          <w:sz w:val="28"/>
        </w:rPr>
        <w:instrText xml:space="preserve"> REF _Ref25637 \h </w:instrText>
      </w:r>
      <w:r>
        <w:rPr>
          <w:rFonts w:ascii="宋体" w:hAnsi="宋体" w:eastAsia="宋体" w:cs="宋体"/>
          <w:sz w:val="28"/>
        </w:rPr>
        <w:fldChar w:fldCharType="separate"/>
      </w:r>
      <w:r>
        <w:rPr>
          <w:rFonts w:ascii="宋体" w:hAnsi="宋体" w:eastAsia="宋体" w:cs="宋体"/>
          <w:sz w:val="28"/>
        </w:rPr>
        <w:t>图 VI</w:t>
      </w:r>
      <w:r>
        <w:rPr>
          <w:rFonts w:ascii="宋体" w:hAnsi="宋体" w:eastAsia="宋体" w:cs="宋体"/>
          <w:sz w:val="28"/>
        </w:rPr>
        <w:fldChar w:fldCharType="end"/>
      </w:r>
      <w:r>
        <w:rPr>
          <w:rFonts w:ascii="宋体" w:hAnsi="宋体" w:eastAsia="宋体" w:cs="宋体"/>
          <w:sz w:val="28"/>
        </w:rPr>
        <w:t>,55.4%为普通大学生、34.7%为学生团体干部、9.9%为活动组织者。在对大学生在校业余时间最喜欢的活动调查中，31.7%选择看书自习、18.1%选择社团活动、14.9%选择上网打游戏、24.7%选择宅在宿舍、5.9%参加学校实验室、4.8%其他。总体来看，学生在校学习生活基本占据了他们大部分的时间，校园环境的氛围影响对他们来说至关重要。</w:t>
      </w:r>
    </w:p>
    <w:p>
      <w:pPr>
        <w:pStyle w:val="17"/>
        <w:jc w:val="center"/>
      </w:pPr>
      <w:r>
        <w:drawing>
          <wp:inline distT="0" distB="0" distL="114300" distR="114300">
            <wp:extent cx="6706235" cy="4206875"/>
            <wp:effectExtent l="0" t="0" r="14605" b="1460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6706235" cy="4206875"/>
                    </a:xfrm>
                    <a:prstGeom prst="rect">
                      <a:avLst/>
                    </a:prstGeom>
                    <a:noFill/>
                    <a:ln w="9525">
                      <a:noFill/>
                    </a:ln>
                  </pic:spPr>
                </pic:pic>
              </a:graphicData>
            </a:graphic>
          </wp:inline>
        </w:drawing>
      </w:r>
    </w:p>
    <w:p>
      <w:pPr>
        <w:pStyle w:val="6"/>
        <w:jc w:val="center"/>
      </w:pPr>
      <w:bookmarkStart w:id="51" w:name="_Ref25637"/>
      <w:r>
        <w:t xml:space="preserve">图 </w:t>
      </w:r>
      <w:r>
        <w:fldChar w:fldCharType="begin"/>
      </w:r>
      <w:r>
        <w:instrText xml:space="preserve"> SEQ 图 \* ROMAN </w:instrText>
      </w:r>
      <w:r>
        <w:fldChar w:fldCharType="separate"/>
      </w:r>
      <w:r>
        <w:t>VI</w:t>
      </w:r>
      <w:r>
        <w:fldChar w:fldCharType="end"/>
      </w:r>
      <w:bookmarkEnd w:id="51"/>
    </w:p>
    <w:p>
      <w:pPr>
        <w:pStyle w:val="2"/>
      </w:pPr>
      <w:bookmarkStart w:id="52" w:name="_Toc31395"/>
      <w:bookmarkStart w:id="53" w:name="_Toc19837"/>
      <w:r>
        <w:t>结合影响因素，引导青年成长成才</w:t>
      </w:r>
      <w:bookmarkEnd w:id="52"/>
      <w:bookmarkEnd w:id="53"/>
    </w:p>
    <w:p>
      <w:pPr>
        <w:pStyle w:val="3"/>
      </w:pPr>
      <w:bookmarkStart w:id="54" w:name="_Toc29713"/>
      <w:bookmarkStart w:id="55" w:name="_Toc26984"/>
      <w:r>
        <w:t>坚定理想信念，规划人生目标</w:t>
      </w:r>
      <w:bookmarkEnd w:id="54"/>
      <w:bookmarkEnd w:id="55"/>
    </w:p>
    <w:p>
      <w:pPr>
        <w:pStyle w:val="17"/>
        <w:ind w:firstLine="420"/>
        <w:jc w:val="left"/>
      </w:pPr>
      <w:r>
        <w:rPr>
          <w:rFonts w:ascii="宋体" w:hAnsi="宋体" w:eastAsia="宋体" w:cs="宋体"/>
          <w:sz w:val="28"/>
        </w:rPr>
        <w:t>青年成长成才的首要标准是要有理想和信念。青年若是思想觉悟上不过硬，即便是事业上取得再大的成功，也不可能对国家、对人民作出任何贡献。</w:t>
      </w:r>
    </w:p>
    <w:p>
      <w:pPr>
        <w:pStyle w:val="17"/>
        <w:ind w:firstLine="420"/>
        <w:jc w:val="left"/>
      </w:pPr>
      <w:r>
        <w:rPr>
          <w:rFonts w:ascii="宋体" w:hAnsi="宋体" w:eastAsia="宋体" w:cs="宋体"/>
          <w:sz w:val="28"/>
        </w:rPr>
        <w:t>俄国作家列夫·托尔斯泰说，理想是指路明星，没有理想，就没有坚定的方向，没有方向，就没有真正的生活。历史上，凡是为人类进步事业作出贡献的人，都是在崇高理想的激励下克服各种困难取得成功的。李时珍踏遍青山，尝遍百草，写成《本草纲目》；马克思呕心沥血40年，阅读1500种书籍，写出《资本论》。正如高尔基所说，一个人追求的目标越高，他的才力就发展得越快，对社会就越有益。</w:t>
      </w:r>
    </w:p>
    <w:p>
      <w:pPr>
        <w:pStyle w:val="17"/>
        <w:ind w:firstLine="420"/>
        <w:jc w:val="left"/>
      </w:pPr>
      <w:r>
        <w:rPr>
          <w:rFonts w:ascii="宋体" w:hAnsi="宋体" w:eastAsia="宋体" w:cs="宋体"/>
          <w:sz w:val="28"/>
        </w:rPr>
        <w:t xml:space="preserve"> 理想信念是人的精神世界的核心。有无理想信念，有什么样的理想信念，决定了人生是高尚充实，还是庸俗空虚。</w:t>
      </w:r>
      <w:r>
        <w:rPr>
          <w:rFonts w:ascii="宋体" w:hAnsi="宋体" w:eastAsia="宋体" w:cs="宋体"/>
          <w:sz w:val="28"/>
          <w:vertAlign w:val="superscript"/>
        </w:rPr>
        <w:t>【3】</w:t>
      </w:r>
      <w:r>
        <w:rPr>
          <w:rFonts w:ascii="宋体" w:hAnsi="宋体" w:eastAsia="宋体" w:cs="宋体"/>
          <w:sz w:val="28"/>
        </w:rPr>
        <w:t>追求远大理想、坚定崇高信念，是大学生健康成长、成就事业、创造生活、开创未来的精神支柱和前进动力。</w:t>
      </w:r>
    </w:p>
    <w:p>
      <w:pPr>
        <w:pStyle w:val="17"/>
        <w:ind w:firstLine="420"/>
        <w:jc w:val="left"/>
      </w:pPr>
      <w:r>
        <w:rPr>
          <w:rFonts w:ascii="宋体" w:hAnsi="宋体" w:eastAsia="宋体" w:cs="宋体"/>
          <w:sz w:val="28"/>
        </w:rPr>
        <w:t xml:space="preserve"> 在有理想、有道德、有文化、有纪律的四有新人的目标中，有理想放在突出的位置，做什么人，是同学们在学习生活中面对的人生课题，只有树立崇高的理想和信念，才能解答好这一重要的人生课题。</w:t>
      </w:r>
    </w:p>
    <w:p>
      <w:pPr>
        <w:pStyle w:val="17"/>
        <w:ind w:firstLine="420"/>
        <w:jc w:val="left"/>
      </w:pPr>
      <w:r>
        <w:rPr>
          <w:rFonts w:ascii="宋体" w:hAnsi="宋体" w:eastAsia="宋体" w:cs="宋体"/>
          <w:sz w:val="28"/>
        </w:rPr>
        <w:t xml:space="preserve"> 对当代大学生而言，为什么学习的问题，是与走什么路、做什么人的问题紧密联系在一起的。同学们要把个人的奋斗志向同祖国和民族的命运相联系，使理想信念之花结出丰硕的成才之果。</w:t>
      </w:r>
    </w:p>
    <w:p>
      <w:pPr>
        <w:pStyle w:val="3"/>
        <w:rPr>
          <w:rFonts w:ascii="Arial" w:hAnsi="Arial"/>
          <w:b/>
          <w:szCs w:val="22"/>
        </w:rPr>
      </w:pPr>
      <w:bookmarkStart w:id="56" w:name="_Toc8983"/>
      <w:bookmarkStart w:id="57" w:name="_Toc25156"/>
      <w:r>
        <w:rPr>
          <w:rFonts w:ascii="Arial" w:hAnsi="Arial"/>
          <w:b/>
          <w:szCs w:val="22"/>
        </w:rPr>
        <w:t>完善教育体制，多方位培养人才</w:t>
      </w:r>
      <w:bookmarkEnd w:id="56"/>
      <w:bookmarkEnd w:id="57"/>
    </w:p>
    <w:p>
      <w:pPr>
        <w:jc w:val="left"/>
      </w:pPr>
      <w:r>
        <w:tab/>
      </w:r>
      <w:r>
        <w:t xml:space="preserve">     </w:t>
      </w:r>
      <w:r>
        <w:rPr>
          <w:rFonts w:ascii="宋体" w:hAnsi="宋体" w:eastAsia="宋体" w:cs="宋体"/>
          <w:sz w:val="28"/>
        </w:rPr>
        <w:t>针对人才培养出现的问题，应坚持多管齐下，既要坚持以学生为主体，优化人才培养的顶层设计，同时，也应加强对学生良知品格、责任担当、文化涵养、应变能力以及“双创”精神等五方面的培养，从而全面提升学生的综合素质，提升高校人才培养的质量和内涵建设水平。</w:t>
      </w:r>
    </w:p>
    <w:p>
      <w:pPr>
        <w:pStyle w:val="4"/>
      </w:pPr>
      <w:bookmarkStart w:id="58" w:name="_Toc15751"/>
      <w:bookmarkStart w:id="59" w:name="_Toc26568"/>
      <w:r>
        <w:t>以学生为主体，优化人才培养的顶层设计</w:t>
      </w:r>
      <w:bookmarkEnd w:id="58"/>
      <w:bookmarkEnd w:id="59"/>
    </w:p>
    <w:p>
      <w:pPr>
        <w:jc w:val="left"/>
      </w:pPr>
      <w:r>
        <w:rPr>
          <w:rFonts w:ascii="宋体" w:hAnsi="宋体" w:eastAsia="宋体" w:cs="宋体"/>
          <w:sz w:val="28"/>
        </w:rPr>
        <w:tab/>
      </w:r>
      <w:r>
        <w:rPr>
          <w:rFonts w:ascii="宋体" w:hAnsi="宋体" w:eastAsia="宋体" w:cs="宋体"/>
          <w:sz w:val="28"/>
        </w:rPr>
        <w:t>随着社会经济的高速发展，社会和地方对于人才培养的需求也在不断变化，高校应立足以学生为主体，真正做好人才培养的顶层设计。结合高校自身实际，确定合理的人才培养定位、培养目标和规格，优化人才培养方案，在人才培养目标、理论课程设置、实践教学环节以及教学过程等方面，发挥各专业优势特色，整体优化课程体系，深化人才培养模式改革，突出人才培养的特色和亮点，构建有基础、有内涵、有特色、有竞争力、适应社会需求的人才培养体系，不断提高人才培养质量和教学工作水平。</w:t>
      </w:r>
      <w:r>
        <w:rPr>
          <w:rFonts w:ascii="宋体" w:hAnsi="宋体" w:eastAsia="宋体" w:cs="宋体"/>
          <w:sz w:val="28"/>
          <w:vertAlign w:val="superscript"/>
        </w:rPr>
        <w:t>【4】</w:t>
      </w:r>
    </w:p>
    <w:p>
      <w:pPr>
        <w:pStyle w:val="4"/>
        <w:rPr>
          <w:b/>
          <w:szCs w:val="22"/>
        </w:rPr>
      </w:pPr>
      <w:bookmarkStart w:id="60" w:name="_Toc19299"/>
      <w:bookmarkStart w:id="61" w:name="_Toc17696"/>
      <w:r>
        <w:rPr>
          <w:b/>
          <w:szCs w:val="22"/>
        </w:rPr>
        <w:t>以“良知教育”为先导，培养真正的“人”</w:t>
      </w:r>
      <w:bookmarkEnd w:id="60"/>
      <w:bookmarkEnd w:id="61"/>
    </w:p>
    <w:p>
      <w:pPr>
        <w:jc w:val="left"/>
      </w:pPr>
      <w:r>
        <w:rPr>
          <w:rFonts w:ascii="宋体" w:hAnsi="宋体" w:eastAsia="宋体" w:cs="宋体"/>
          <w:sz w:val="28"/>
        </w:rPr>
        <w:tab/>
      </w:r>
      <w:r>
        <w:rPr>
          <w:rFonts w:ascii="宋体" w:hAnsi="宋体" w:eastAsia="宋体" w:cs="宋体"/>
          <w:sz w:val="28"/>
        </w:rPr>
        <w:t>高校内涵建设除了从学校层面出发，加强顶层设计外，还应切实体察学生，通过引导学生，由内而外发力，焕发出学生内在的动力与活力，来为高校的内涵建设添能加油。</w:t>
      </w:r>
      <w:r>
        <w:rPr>
          <w:rFonts w:ascii="宋体" w:hAnsi="宋体" w:eastAsia="宋体" w:cs="宋体"/>
          <w:sz w:val="28"/>
          <w:vertAlign w:val="superscript"/>
        </w:rPr>
        <w:t>【4】</w:t>
      </w:r>
      <w:r>
        <w:rPr>
          <w:rFonts w:ascii="宋体" w:hAnsi="宋体" w:eastAsia="宋体" w:cs="宋体"/>
          <w:sz w:val="28"/>
        </w:rPr>
        <w:t>对学生培养而言，首先应该注重学生内在良知的唤醒。2016年，习近平总书记在全国高校思想政治工作会议上也强调要把立德树人作为教育的中心环节。因此，应注重培养学生为人处事讲天地良心，用“善”作为指引法则，在课堂教学中可通过道德情境教学法、活动教学法来加强学生良知品德教育，同时，应加强学生日常行为品德教育，即在实际行动中去践行良知，实现知行合一。</w:t>
      </w:r>
    </w:p>
    <w:p>
      <w:pPr>
        <w:pStyle w:val="4"/>
        <w:rPr>
          <w:b/>
          <w:szCs w:val="22"/>
        </w:rPr>
      </w:pPr>
      <w:bookmarkStart w:id="62" w:name="_Toc20280"/>
      <w:bookmarkStart w:id="63" w:name="_Toc26848"/>
      <w:r>
        <w:rPr>
          <w:b/>
          <w:szCs w:val="22"/>
        </w:rPr>
        <w:t>以“责任教育”为激励，赋予责任担当“天下兴亡，匹夫有责。”</w:t>
      </w:r>
      <w:bookmarkEnd w:id="62"/>
      <w:bookmarkEnd w:id="63"/>
    </w:p>
    <w:p>
      <w:pPr>
        <w:pStyle w:val="17"/>
        <w:jc w:val="left"/>
      </w:pPr>
      <w:r>
        <w:rPr>
          <w:rFonts w:ascii="宋体" w:hAnsi="宋体" w:eastAsia="宋体" w:cs="宋体"/>
          <w:sz w:val="28"/>
        </w:rPr>
        <w:tab/>
      </w:r>
      <w:r>
        <w:rPr>
          <w:rFonts w:ascii="宋体" w:hAnsi="宋体" w:eastAsia="宋体" w:cs="宋体"/>
          <w:sz w:val="28"/>
        </w:rPr>
        <w:t>责任教育是培养学生责任素质的有效途径，因此，对高校学生进行责任教育很有现实意义。责任教育是一项有计划、有目的、长久性的活动，离不开高校教师的组织和引导。首先，应该倡导非功利化的责任教育观。</w:t>
      </w:r>
      <w:r>
        <w:rPr>
          <w:rFonts w:ascii="宋体" w:hAnsi="宋体" w:eastAsia="宋体" w:cs="宋体"/>
          <w:sz w:val="28"/>
          <w:vertAlign w:val="superscript"/>
        </w:rPr>
        <w:t>【4】</w:t>
      </w:r>
      <w:r>
        <w:rPr>
          <w:rFonts w:ascii="宋体" w:hAnsi="宋体" w:eastAsia="宋体" w:cs="宋体"/>
          <w:sz w:val="28"/>
        </w:rPr>
        <w:t>责任本是职责以内，应彻底摒弃以往把学生的社会责任、环境责任等行为与学生行为奖励挂钩的错误导向，引导责任教育向常态化、社会化的方向发展，营造饱含“正能量”的责任教育氛围。同时，以行动促责任养成。</w:t>
      </w:r>
    </w:p>
    <w:p>
      <w:pPr>
        <w:pStyle w:val="2"/>
      </w:pPr>
      <w:bookmarkStart w:id="64" w:name="_Toc11433"/>
      <w:bookmarkStart w:id="65" w:name="_Toc31224"/>
      <w:r>
        <w:t>进一步研究设想</w:t>
      </w:r>
      <w:bookmarkEnd w:id="64"/>
      <w:bookmarkEnd w:id="65"/>
    </w:p>
    <w:p>
      <w:pPr>
        <w:pStyle w:val="5"/>
        <w:numPr>
          <w:ilvl w:val="3"/>
          <w:numId w:val="0"/>
        </w:numPr>
        <w:ind w:leftChars="0"/>
        <w:rPr>
          <w:rFonts w:hint="eastAsia" w:ascii="宋体" w:hAnsi="宋体" w:eastAsia="宋体" w:cs="宋体"/>
          <w:b w:val="0"/>
          <w:bCs/>
        </w:rPr>
      </w:pPr>
      <w:r>
        <w:rPr>
          <w:rFonts w:hint="eastAsia" w:ascii="宋体" w:hAnsi="宋体" w:eastAsia="宋体" w:cs="宋体"/>
          <w:b w:val="0"/>
          <w:bCs/>
        </w:rPr>
        <w:t>结合习近平新时代中国特色社会主义思想与社会主义核心价值观探究青年成长成才新思路</w:t>
      </w:r>
    </w:p>
    <w:p>
      <w:pPr>
        <w:pStyle w:val="3"/>
      </w:pPr>
      <w:bookmarkStart w:id="66" w:name="_Toc17911"/>
      <w:bookmarkStart w:id="67" w:name="_Toc666"/>
      <w:r>
        <w:t>社会主义核心价值观是当代青年成长成才的价值质料</w:t>
      </w:r>
      <w:bookmarkEnd w:id="66"/>
      <w:bookmarkEnd w:id="67"/>
    </w:p>
    <w:p>
      <w:pPr>
        <w:pStyle w:val="17"/>
        <w:jc w:val="left"/>
      </w:pPr>
    </w:p>
    <w:p>
      <w:pPr>
        <w:pStyle w:val="17"/>
        <w:ind w:firstLine="420"/>
        <w:jc w:val="left"/>
      </w:pPr>
      <w:r>
        <w:rPr>
          <w:sz w:val="28"/>
        </w:rPr>
        <w:t xml:space="preserve"> </w:t>
      </w:r>
      <w:r>
        <w:rPr>
          <w:rFonts w:ascii="宋体" w:hAnsi="宋体" w:eastAsia="宋体" w:cs="宋体"/>
          <w:sz w:val="28"/>
        </w:rPr>
        <w:t>当代青年树立和培育社会主义核心价值观，不仅关系到青年自身的价值观状况，也关系到全社会的价值风尚和价值创新；不仅关系到青年的健康成长成才，也关系到中国特色社会主义事业的兴衰成败。</w:t>
      </w:r>
    </w:p>
    <w:p>
      <w:pPr>
        <w:pStyle w:val="17"/>
        <w:ind w:firstLine="420"/>
        <w:jc w:val="left"/>
      </w:pPr>
      <w:r>
        <w:rPr>
          <w:rFonts w:ascii="宋体" w:hAnsi="宋体" w:eastAsia="宋体" w:cs="宋体"/>
          <w:sz w:val="28"/>
        </w:rPr>
        <w:t xml:space="preserve"> 价值观是实践的结果，也是文化的核心，能够给人们指示思考问题和行为选择的方向。习近平总书记在讲话中指出：“价值观是人类在认识、改造自然和社会的过程中产生与发挥作用的。</w:t>
      </w:r>
      <w:r>
        <w:rPr>
          <w:rFonts w:ascii="宋体" w:hAnsi="宋体" w:eastAsia="宋体" w:cs="宋体"/>
          <w:sz w:val="28"/>
          <w:vertAlign w:val="superscript"/>
        </w:rPr>
        <w:t>【5】</w:t>
      </w:r>
      <w:r>
        <w:rPr>
          <w:rFonts w:ascii="宋体" w:hAnsi="宋体" w:eastAsia="宋体" w:cs="宋体"/>
          <w:sz w:val="28"/>
        </w:rPr>
        <w:t>不同民族、不同国家由于其自然条件和发展历程不同，产生和形成的核心价值观也各有特点。一个民族、一个国家的核心价值观必须同这个民族、这个国家的历史文化相契合，同这个民族、这个国家的人民正在进行的奋斗相结合，同这个民族、这个国家需要解决的时代问题相适应。”这表明，价值观所代表的是处在特定生存环境、文化模式和实践方式中的人们所具有的独特价值判断和价值选择。每个国家、每个民族都会葆有也应该培育与自己的历史相承接、与自己的现实相符合、与自己的需要相适应的价值观。社会主义核心价值观就是当代中华民族和中国人的基本选择，是适合中国现实需要的共同价值观。</w:t>
      </w:r>
    </w:p>
    <w:p>
      <w:pPr>
        <w:pStyle w:val="17"/>
        <w:ind w:firstLine="420"/>
        <w:jc w:val="left"/>
      </w:pPr>
      <w:r>
        <w:rPr>
          <w:rFonts w:ascii="宋体" w:hAnsi="宋体" w:eastAsia="宋体" w:cs="宋体"/>
          <w:sz w:val="28"/>
        </w:rPr>
        <w:t xml:space="preserve"> 党的十八大以来所确立的社会主义核心价值观的基本内容，既是中国特色社会主义理论体系的组成部分，也是“五四”以来中华民族先进价值观与时代精神的发扬和创造。习近平总书记在讲话中深刻揭示了“五四精神”与社会主义核心价值观的内在联系，指明青年在引领时代精神、培育时代价值观上的进步性和先行性。历史和传统是无法割断的，民族和国家也是无法闭锁的。我们今天所倡导的社会主义核心价值观，既有历史的基础，也有现实的需要；既有中华文明的特质，也有世界文明的影子；既符合社会主义的本质，也具有稳定性和普遍性。</w:t>
      </w:r>
    </w:p>
    <w:p>
      <w:pPr>
        <w:pStyle w:val="3"/>
        <w:rPr>
          <w:rFonts w:ascii="Arial" w:hAnsi="Arial"/>
          <w:b/>
          <w:szCs w:val="22"/>
        </w:rPr>
      </w:pPr>
      <w:bookmarkStart w:id="68" w:name="_Toc24543"/>
      <w:bookmarkStart w:id="69" w:name="_Toc25128"/>
      <w:r>
        <w:rPr>
          <w:rFonts w:ascii="Arial" w:hAnsi="Arial"/>
          <w:b/>
          <w:szCs w:val="22"/>
        </w:rPr>
        <w:t>习近平新时代中国特色社会主义思想是当代青年成长成才的精神营养</w:t>
      </w:r>
      <w:bookmarkEnd w:id="68"/>
      <w:bookmarkEnd w:id="69"/>
    </w:p>
    <w:p>
      <w:pPr>
        <w:pStyle w:val="17"/>
        <w:ind w:firstLine="420"/>
        <w:jc w:val="left"/>
      </w:pPr>
      <w:r>
        <w:rPr>
          <w:rFonts w:ascii="宋体" w:hAnsi="宋体" w:eastAsia="宋体" w:cs="宋体"/>
          <w:sz w:val="28"/>
        </w:rPr>
        <w:t xml:space="preserve"> 8月15日，习近平总书记给第三届中国“互联网+”大学生创新创业大赛“青年红色筑梦之旅”大学生回信，深切勉励青年学生扎根中国大地了解国情民情，用青春书写无愧于时代、无愧于历史的华彩篇章。总书记的重要回信，充分体现了以习近平同志为核心的党中央对教育工作的高度重视和对青年一代的亲切关怀，为青年学生成长成才指明了方向。</w:t>
      </w:r>
    </w:p>
    <w:p>
      <w:pPr>
        <w:pStyle w:val="17"/>
        <w:jc w:val="left"/>
      </w:pPr>
      <w:r>
        <w:rPr>
          <w:rFonts w:ascii="宋体" w:hAnsi="宋体" w:eastAsia="宋体" w:cs="宋体"/>
          <w:sz w:val="28"/>
        </w:rPr>
        <w:tab/>
      </w:r>
      <w:r>
        <w:rPr>
          <w:rFonts w:ascii="宋体" w:hAnsi="宋体" w:eastAsia="宋体" w:cs="宋体"/>
          <w:sz w:val="28"/>
        </w:rPr>
        <w:t>党的十八大以来，习近平总书记从坚持和发展中国特色社会主义、实现中华民族伟大复兴中国梦的全局高度，从国家长治久安、党长期执政的战略高度，对青年学生成长成才提出了一系列富有创见的新思想新观点新论断新要求，深刻回答了“培养什么样的人、如何培养人、为谁培养人”“如何认识青年学生、如何教育引领青年学生、如何发挥青年学生作用”等一系列重大问题，形成了思想深邃、内涵丰富、科学完整的思想理论体系，是习近平总书记教育思想的重要组成部分，是对中国特色社会主义教育理论的进一步丰富和发展。我们要深入学习贯彻习近平总书记关于青年学生成长成才重要思想，把握青年学生成长成才规律，努力培养中国特色社会主义事业合格建设者和可靠接班人。</w:t>
      </w:r>
      <w:r>
        <w:rPr>
          <w:rFonts w:ascii="宋体" w:hAnsi="宋体" w:eastAsia="宋体" w:cs="宋体"/>
          <w:sz w:val="28"/>
          <w:vertAlign w:val="superscript"/>
        </w:rPr>
        <w:t>【6】</w:t>
      </w:r>
    </w:p>
    <w:p>
      <w:pPr>
        <w:pStyle w:val="17"/>
        <w:ind w:firstLine="420"/>
        <w:jc w:val="left"/>
      </w:pPr>
      <w:r>
        <w:rPr>
          <w:rFonts w:ascii="宋体" w:hAnsi="宋体" w:eastAsia="宋体" w:cs="宋体"/>
          <w:sz w:val="28"/>
        </w:rPr>
        <w:t xml:space="preserve"> 习近平总书记关于青年学生成长成才重要思想，闪耀着马克思主义真理的光芒，集中体现了总书记对马克思主义立场观点方法的科学运用，对世情国情党情的准确判断，对思想政治工作规律、教书育人规律、学生成长规律的科学把握，具有很强的战略性、政治性、思想性和针对性，是指导新时期教育事业改革发展和青年学生成长成才的根本遵循。</w:t>
      </w:r>
    </w:p>
    <w:p>
      <w:pPr>
        <w:pStyle w:val="2"/>
      </w:pPr>
      <w:bookmarkStart w:id="70" w:name="_Toc12446"/>
      <w:bookmarkStart w:id="71" w:name="_Toc3987"/>
      <w:r>
        <w:t>总结、个人体会</w:t>
      </w:r>
      <w:bookmarkEnd w:id="70"/>
      <w:bookmarkEnd w:id="71"/>
    </w:p>
    <w:p>
      <w:pPr>
        <w:pStyle w:val="17"/>
        <w:ind w:firstLine="420"/>
        <w:jc w:val="left"/>
      </w:pPr>
      <w:r>
        <w:rPr>
          <w:rFonts w:ascii="宋体" w:hAnsi="宋体" w:eastAsia="宋体" w:cs="宋体"/>
          <w:sz w:val="28"/>
        </w:rPr>
        <w:t xml:space="preserve"> 新时代青年要有理想强本领勇担当，青年作为年轻的一代，是祖国未来的寄托，是社会发展的生力军，是伟大事业建设的中流砥柱。党的十九大报告中指出，青年兴则国家兴，青年强则国家强。青年一代有理想、有本领、有担当，国家就有前途，民族就有希望。作为新时代的青年，面对“两个百年”奋斗目标的宏伟蓝图，应当主动响应冲锋的号角，扛起时代的大旗，不负使命、锤炼本领、勇于担当。</w:t>
      </w:r>
    </w:p>
    <w:p>
      <w:pPr>
        <w:pStyle w:val="17"/>
        <w:ind w:firstLine="420"/>
        <w:jc w:val="left"/>
      </w:pPr>
      <w:r>
        <w:rPr>
          <w:rFonts w:ascii="宋体" w:hAnsi="宋体" w:eastAsia="宋体" w:cs="宋体"/>
          <w:sz w:val="28"/>
        </w:rPr>
        <w:t xml:space="preserve"> 要志存高远，树立远大理想。作为新时代的青年要做到心中有志、立志立行。要主动响应时代的呼唤和号召，将自己的理想，主动同中央、省市县委的发展战略结合起来，做到思想同心、目标同向、行动同力。要以勇立潮头的弄潮儿、党的事业的接班人为标准，奋力拼搏，为伟大复兴的中国梦加砖添瓦。</w:t>
      </w:r>
    </w:p>
    <w:p>
      <w:pPr>
        <w:pStyle w:val="17"/>
        <w:ind w:firstLine="420"/>
        <w:jc w:val="left"/>
      </w:pPr>
      <w:r>
        <w:rPr>
          <w:rFonts w:ascii="宋体" w:hAnsi="宋体" w:eastAsia="宋体" w:cs="宋体"/>
          <w:sz w:val="28"/>
        </w:rPr>
        <w:t xml:space="preserve"> 要脚踏实地，不负使命勇担当。青春，从来就不是用来挥霍的，而是用来填满未来梦想的。人的一生只有一次青春。在这个最该张扬的时光里，青春是用来奋斗的，因为这个时候的青年拥有着无限的活力和无止尽的探索精神。面对新时代新的历史使命。作为一名新时代青年，要主动担负起历史使命，以一代又一代优秀的中华儿女为榜样，对党忠诚、敢于担当；要以身边先进典型为榜样，脚踏实地、埋头苦干。勇锲而不舍、驰而不息，百折不挠的进取精神，树立新时代青年的新形象。</w:t>
      </w:r>
    </w:p>
    <w:p>
      <w:pPr>
        <w:pStyle w:val="17"/>
        <w:ind w:firstLine="420"/>
        <w:jc w:val="left"/>
      </w:pPr>
      <w:r>
        <w:rPr>
          <w:rFonts w:ascii="宋体" w:hAnsi="宋体" w:eastAsia="宋体" w:cs="宋体"/>
          <w:sz w:val="28"/>
        </w:rPr>
        <w:t xml:space="preserve"> “不忘初心，牢记使命”，冲锋的号角已经吹响，复兴的巨轮已经起航，作为新时代的青年，必当以时不我待、只争朝夕的精神，放飞青春，书写华章，奋力走好属于我们自己的长征路。</w:t>
      </w:r>
    </w:p>
    <w:p>
      <w:pPr>
        <w:pStyle w:val="17"/>
        <w:jc w:val="left"/>
      </w:pPr>
    </w:p>
    <w:p>
      <w:pPr>
        <w:pStyle w:val="2"/>
      </w:pPr>
      <w:bookmarkStart w:id="72" w:name="_Toc13101"/>
      <w:bookmarkStart w:id="73" w:name="_Toc14784"/>
      <w:r>
        <w:rPr>
          <w:rFonts w:hint="eastAsia"/>
          <w:lang w:val="en-US" w:eastAsia="zh-CN"/>
        </w:rPr>
        <w:t>参考</w:t>
      </w:r>
      <w:r>
        <w:t>文献：</w:t>
      </w:r>
      <w:bookmarkEnd w:id="72"/>
      <w:bookmarkEnd w:id="73"/>
    </w:p>
    <w:p>
      <w:pPr>
        <w:pStyle w:val="17"/>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【1】.报纸 中共教育部党组</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深入学习贯彻习近平总书记关于青年学生成长成才重要思想大力培养中国特色社会主义建设者和接班人[N].光明日报，2017.09</w:t>
      </w:r>
    </w:p>
    <w:p>
      <w:pPr>
        <w:pStyle w:val="17"/>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【2】.期刊</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马风奎.以德育人提高大学生思想品德素质[J].河北农业大学，2007.02</w:t>
      </w:r>
    </w:p>
    <w:p>
      <w:pPr>
        <w:pStyle w:val="17"/>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【3】.期刊</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林正.浅议大学生理想信念教育[J].海南工商职业学院，2011.07</w:t>
      </w:r>
    </w:p>
    <w:p>
      <w:pPr>
        <w:pStyle w:val="17"/>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【4】.期刊</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王春霞.高校内涵建设背景下人才培养研究[J].韶关学院，201</w:t>
      </w:r>
      <w:r>
        <w:rPr>
          <w:rFonts w:hint="eastAsia" w:asciiTheme="minorEastAsia" w:hAnsiTheme="minorEastAsia" w:eastAsiaTheme="minorEastAsia" w:cstheme="minorEastAsia"/>
          <w:sz w:val="28"/>
          <w:szCs w:val="28"/>
          <w:lang w:val="en-US" w:eastAsia="zh-CN"/>
        </w:rPr>
        <w:t>7年14期</w:t>
      </w:r>
    </w:p>
    <w:p>
      <w:pPr>
        <w:pStyle w:val="17"/>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【5】.期刊</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万光侠.培育践行社会主义核心价值观的传统文化向度[J].山东师范大学，2015.05</w:t>
      </w:r>
    </w:p>
    <w:p>
      <w:pPr>
        <w:pStyle w:val="17"/>
        <w:jc w:val="left"/>
      </w:pPr>
      <w:r>
        <w:rPr>
          <w:rFonts w:hint="eastAsia" w:asciiTheme="minorEastAsia" w:hAnsiTheme="minorEastAsia" w:eastAsiaTheme="minorEastAsia" w:cstheme="minorEastAsia"/>
          <w:sz w:val="28"/>
          <w:szCs w:val="28"/>
        </w:rPr>
        <w:t>【6】.报纸</w:t>
      </w:r>
      <w:r>
        <w:rPr>
          <w:rFonts w:hint="eastAsia" w:asciiTheme="minorEastAsia" w:hAnsiTheme="minorEastAsia" w:eastAsiaTheme="minorEastAsia" w:cstheme="minorEastAsia"/>
          <w:sz w:val="28"/>
          <w:szCs w:val="28"/>
          <w:lang w:val="en-US" w:eastAsia="zh-CN"/>
        </w:rPr>
        <w:t xml:space="preserve"> 人民网.</w:t>
      </w:r>
      <w:r>
        <w:rPr>
          <w:rFonts w:hint="eastAsia" w:asciiTheme="minorEastAsia" w:hAnsiTheme="minorEastAsia" w:eastAsiaTheme="minorEastAsia" w:cstheme="minorEastAsia"/>
          <w:sz w:val="28"/>
          <w:szCs w:val="28"/>
        </w:rPr>
        <w:t>习近平谈坚持和发展中国特色社会主义</w:t>
      </w:r>
      <w:r>
        <w:rPr>
          <w:rFonts w:hint="eastAsia" w:ascii="宋体" w:hAnsi="宋体"/>
          <w:szCs w:val="21"/>
        </w:rPr>
        <w:t>[N]，</w:t>
      </w:r>
      <w:r>
        <w:rPr>
          <w:rFonts w:hint="eastAsia" w:asciiTheme="minorEastAsia" w:hAnsiTheme="minorEastAsia" w:eastAsiaTheme="minorEastAsia" w:cstheme="minorEastAsia"/>
          <w:sz w:val="28"/>
          <w:szCs w:val="28"/>
        </w:rPr>
        <w:t xml:space="preserve"> 2014.08</w:t>
      </w:r>
    </w:p>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uble" w:color="auto" w:sz="8" w:space="1"/>
      </w:pBdr>
      <w:jc w:val="center"/>
      <w:rPr>
        <w:rFonts w:hint="eastAsia" w:ascii="楷体" w:hAnsi="楷体" w:eastAsia="楷体" w:cs="楷体"/>
        <w:sz w:val="28"/>
        <w:szCs w:val="32"/>
        <w:lang w:val="en-US" w:eastAsia="zh-CN"/>
      </w:rPr>
    </w:pPr>
    <w:r>
      <w:rPr>
        <w:rFonts w:hint="eastAsia" w:ascii="楷体" w:hAnsi="楷体" w:eastAsia="楷体" w:cs="楷体"/>
        <w:sz w:val="28"/>
        <w:szCs w:val="32"/>
        <w:lang w:val="en-US" w:eastAsia="zh-CN"/>
      </w:rPr>
      <w:t>关于新时代青年的成长成才的研究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B0248"/>
    <w:multiLevelType w:val="multilevel"/>
    <w:tmpl w:val="85AB0248"/>
    <w:lvl w:ilvl="0" w:tentative="0">
      <w:start w:val="1"/>
      <w:numFmt w:val="chineseCounting"/>
      <w:pStyle w:val="2"/>
      <w:lvlText w:val="%1."/>
      <w:lvlJc w:val="left"/>
      <w:pPr>
        <w:ind w:left="432" w:hanging="432"/>
      </w:pPr>
      <w:rPr>
        <w:rFonts w:hint="eastAsia" w:ascii="宋体" w:hAnsi="宋体" w:eastAsia="宋体" w:cs="宋体"/>
      </w:rPr>
    </w:lvl>
    <w:lvl w:ilvl="1" w:tentative="0">
      <w:start w:val="1"/>
      <w:numFmt w:val="decimal"/>
      <w:pStyle w:val="3"/>
      <w:lvlText w:val="%2."/>
      <w:lvlJc w:val="left"/>
      <w:pPr>
        <w:ind w:left="575" w:hanging="575"/>
      </w:pPr>
      <w:rPr>
        <w:rFonts w:hint="eastAsia" w:ascii="宋体" w:hAnsi="宋体" w:eastAsia="宋体" w:cs="宋体"/>
      </w:rPr>
    </w:lvl>
    <w:lvl w:ilvl="2" w:tentative="0">
      <w:start w:val="1"/>
      <w:numFmt w:val="decimal"/>
      <w:pStyle w:val="4"/>
      <w:lvlText w:val="%2.%3."/>
      <w:lvlJc w:val="left"/>
      <w:pPr>
        <w:ind w:left="720" w:hanging="720"/>
      </w:pPr>
      <w:rPr>
        <w:rFonts w:hint="eastAsia" w:ascii="宋体" w:hAnsi="宋体" w:eastAsia="宋体" w:cs="宋体"/>
      </w:rPr>
    </w:lvl>
    <w:lvl w:ilvl="3" w:tentative="0">
      <w:start w:val="1"/>
      <w:numFmt w:val="decimal"/>
      <w:pStyle w:val="5"/>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1" w:hanging="1151"/>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57F3E"/>
    <w:rsid w:val="22D8599A"/>
    <w:rsid w:val="4B740D9C"/>
    <w:rsid w:val="5D657F3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6"/>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0"/>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石墨文档副标题"/>
    <w:qFormat/>
    <w:uiPriority w:val="0"/>
    <w:rPr>
      <w:rFonts w:ascii="微软雅黑" w:hAnsi="微软雅黑" w:eastAsia="微软雅黑" w:cs="微软雅黑"/>
      <w:color w:val="888888"/>
      <w:sz w:val="48"/>
      <w:szCs w:val="48"/>
    </w:rPr>
  </w:style>
  <w:style w:type="paragraph" w:customStyle="1" w:styleId="16">
    <w:name w:val="石墨文档标题"/>
    <w:next w:val="17"/>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7">
    <w:name w:val="石墨文档正文"/>
    <w:qFormat/>
    <w:uiPriority w:val="0"/>
    <w:rPr>
      <w:rFonts w:ascii="微软雅黑" w:hAnsi="微软雅黑" w:eastAsia="微软雅黑" w:cs="微软雅黑"/>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king\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2018-04-25T11:15:00Z</dcterms:created>
  <dc:creator>文字名 　　- </dc:creator>
  <cp:lastModifiedBy>文字名 　　- </cp:lastModifiedBy>
  <dcterms:modified xsi:type="dcterms:W3CDTF">2018-04-25T12:52:46Z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