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60698F"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965F5">
              <w:rPr>
                <w:rFonts w:ascii="Times New Roman" w:eastAsia="Calibri" w:hAnsi="Times New Roman" w:cs="Times New Roman"/>
                <w:b/>
                <w:bCs/>
                <w:kern w:val="28"/>
                <w:sz w:val="24"/>
                <w:szCs w:val="24"/>
              </w:rPr>
              <w:t xml:space="preserve"> weeks / 40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6965F5">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030A88">
        <w:trPr>
          <w:jc w:val="center"/>
        </w:trPr>
        <w:tc>
          <w:tcPr>
            <w:tcW w:w="1723" w:type="dxa"/>
            <w:tcBorders>
              <w:top w:val="nil"/>
              <w:left w:val="nil"/>
              <w:bottom w:val="single" w:sz="12" w:space="0" w:color="auto"/>
              <w:right w:val="nil"/>
            </w:tcBorders>
          </w:tcPr>
          <w:p w:rsidR="00C40728" w:rsidRPr="00A04FD2" w:rsidRDefault="008B6E1C" w:rsidP="00974624">
            <w:pPr>
              <w:rPr>
                <w:rFonts w:ascii="Times New Roman" w:hAnsi="Times New Roman" w:cs="Times New Roman"/>
                <w:b/>
                <w:sz w:val="24"/>
                <w:szCs w:val="24"/>
              </w:rPr>
            </w:pPr>
            <w:r>
              <w:rPr>
                <w:rFonts w:ascii="Times New Roman" w:hAnsi="Times New Roman" w:cs="Times New Roman"/>
                <w:b/>
                <w:sz w:val="24"/>
                <w:szCs w:val="24"/>
              </w:rPr>
              <w:t>PH</w:t>
            </w:r>
            <w:r w:rsidR="00F817D4">
              <w:rPr>
                <w:rFonts w:ascii="Times New Roman" w:hAnsi="Times New Roman" w:cs="Times New Roman"/>
                <w:b/>
                <w:sz w:val="24"/>
                <w:szCs w:val="24"/>
              </w:rPr>
              <w:t>T11</w:t>
            </w:r>
            <w:r w:rsidR="00974624">
              <w:rPr>
                <w:rFonts w:ascii="Times New Roman" w:hAnsi="Times New Roman" w:cs="Times New Roman"/>
                <w:b/>
                <w:sz w:val="24"/>
                <w:szCs w:val="24"/>
              </w:rPr>
              <w:t>0</w:t>
            </w:r>
          </w:p>
        </w:tc>
        <w:tc>
          <w:tcPr>
            <w:tcW w:w="5791" w:type="dxa"/>
            <w:gridSpan w:val="3"/>
            <w:tcBorders>
              <w:top w:val="nil"/>
              <w:left w:val="nil"/>
              <w:bottom w:val="single" w:sz="12" w:space="0" w:color="auto"/>
              <w:right w:val="nil"/>
            </w:tcBorders>
          </w:tcPr>
          <w:p w:rsidR="00C40728" w:rsidRPr="00A04FD2" w:rsidRDefault="008B6E1C" w:rsidP="00A04FD2">
            <w:pPr>
              <w:rPr>
                <w:rFonts w:ascii="Times New Roman" w:hAnsi="Times New Roman" w:cs="Times New Roman"/>
                <w:sz w:val="24"/>
                <w:szCs w:val="24"/>
              </w:rPr>
            </w:pPr>
            <w:r>
              <w:rPr>
                <w:rFonts w:ascii="Times New Roman" w:eastAsia="Times New Roman" w:hAnsi="Times New Roman" w:cs="Times New Roman"/>
                <w:b/>
                <w:sz w:val="24"/>
                <w:szCs w:val="24"/>
              </w:rPr>
              <w:t>Pharmacy Practice and Principals I</w:t>
            </w:r>
            <w:r w:rsidR="00F817D4">
              <w:rPr>
                <w:rFonts w:ascii="Times New Roman" w:eastAsia="Times New Roman" w:hAnsi="Times New Roman" w:cs="Times New Roman"/>
                <w:b/>
                <w:sz w:val="24"/>
                <w:szCs w:val="24"/>
              </w:rPr>
              <w:t>I</w:t>
            </w:r>
          </w:p>
        </w:tc>
        <w:tc>
          <w:tcPr>
            <w:tcW w:w="930" w:type="dxa"/>
            <w:tcBorders>
              <w:top w:val="nil"/>
              <w:left w:val="nil"/>
              <w:bottom w:val="single" w:sz="12" w:space="0" w:color="auto"/>
              <w:right w:val="nil"/>
            </w:tcBorders>
          </w:tcPr>
          <w:p w:rsidR="00C40728" w:rsidRPr="00A04FD2" w:rsidRDefault="006965F5"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A04FD2" w:rsidRDefault="006965F5"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030A88">
        <w:trPr>
          <w:jc w:val="center"/>
        </w:trPr>
        <w:tc>
          <w:tcPr>
            <w:tcW w:w="9360" w:type="dxa"/>
            <w:gridSpan w:val="6"/>
            <w:tcBorders>
              <w:top w:val="single" w:sz="12" w:space="0" w:color="auto"/>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F817D4">
              <w:rPr>
                <w:rFonts w:ascii="Times New Roman" w:hAnsi="Times New Roman" w:cs="Times New Roman"/>
                <w:b/>
                <w:sz w:val="24"/>
                <w:szCs w:val="24"/>
              </w:rPr>
              <w:t xml:space="preserve">: </w:t>
            </w:r>
            <w:r w:rsidR="00F817D4" w:rsidRPr="00F817D4">
              <w:rPr>
                <w:rFonts w:ascii="Times New Roman" w:eastAsia="Times New Roman" w:hAnsi="Times New Roman" w:cs="Times New Roman"/>
                <w:sz w:val="24"/>
                <w:szCs w:val="24"/>
              </w:rPr>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p>
          <w:p w:rsidR="0060698F" w:rsidRDefault="0060698F" w:rsidP="0060698F">
            <w:pPr>
              <w:jc w:val="both"/>
              <w:rPr>
                <w:rFonts w:ascii="Times New Roman" w:hAnsi="Times New Roman" w:cs="Times New Roman"/>
                <w:b/>
                <w:sz w:val="24"/>
                <w:szCs w:val="24"/>
              </w:rPr>
            </w:pPr>
          </w:p>
          <w:p w:rsidR="0060698F" w:rsidRPr="009034BA" w:rsidRDefault="0060698F" w:rsidP="0060698F">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60698F" w:rsidRPr="00243471" w:rsidRDefault="0060698F" w:rsidP="0060698F">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60698F" w:rsidRPr="00774650" w:rsidRDefault="0060698F" w:rsidP="0060698F">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60698F">
              <w:rPr>
                <w:rFonts w:ascii="Times New Roman" w:hAnsi="Times New Roman" w:cs="Times New Roman"/>
                <w:sz w:val="24"/>
              </w:rPr>
              <w:t>Mosby's Pharmacy Technician: Principles and Practice, 4e</w:t>
            </w:r>
            <w:r>
              <w:rPr>
                <w:rFonts w:ascii="Times New Roman" w:hAnsi="Times New Roman" w:cs="Times New Roman"/>
                <w:sz w:val="24"/>
              </w:rPr>
              <w:t>. Elsevier.</w:t>
            </w:r>
          </w:p>
          <w:p w:rsidR="0060698F" w:rsidRDefault="0060698F" w:rsidP="0060698F">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60698F" w:rsidRPr="00BB000A" w:rsidRDefault="0060698F" w:rsidP="0060698F">
            <w:pPr>
              <w:jc w:val="both"/>
              <w:rPr>
                <w:rFonts w:ascii="Times New Roman" w:hAnsi="Times New Roman" w:cs="Times New Roman"/>
                <w:b/>
                <w:sz w:val="24"/>
                <w:szCs w:val="24"/>
              </w:rPr>
            </w:pPr>
          </w:p>
          <w:p w:rsidR="0060698F" w:rsidRPr="001B7AB4" w:rsidRDefault="0060698F" w:rsidP="0060698F">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60698F" w:rsidRPr="001B7AB4" w:rsidRDefault="0060698F" w:rsidP="0060698F">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60698F" w:rsidRDefault="0060698F" w:rsidP="0060698F">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60698F" w:rsidRDefault="0060698F" w:rsidP="0060698F">
            <w:pPr>
              <w:jc w:val="both"/>
              <w:rPr>
                <w:rFonts w:ascii="Times New Roman" w:hAnsi="Times New Roman" w:cs="Times New Roman"/>
                <w:sz w:val="24"/>
                <w:szCs w:val="24"/>
              </w:rPr>
            </w:pPr>
            <w:r>
              <w:rPr>
                <w:rFonts w:ascii="Times New Roman" w:hAnsi="Times New Roman" w:cs="Times New Roman"/>
                <w:sz w:val="24"/>
                <w:szCs w:val="24"/>
              </w:rPr>
              <w:t>Research</w:t>
            </w:r>
          </w:p>
          <w:p w:rsidR="0060698F" w:rsidRPr="001B7AB4" w:rsidRDefault="0060698F" w:rsidP="0060698F">
            <w:pPr>
              <w:jc w:val="both"/>
              <w:rPr>
                <w:rFonts w:ascii="Times New Roman" w:hAnsi="Times New Roman" w:cs="Times New Roman"/>
                <w:sz w:val="24"/>
                <w:szCs w:val="24"/>
              </w:rPr>
            </w:pPr>
          </w:p>
          <w:p w:rsidR="0060698F" w:rsidRPr="001B7AB4" w:rsidRDefault="0060698F" w:rsidP="0060698F">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60698F" w:rsidRDefault="0060698F" w:rsidP="0060698F">
            <w:pPr>
              <w:jc w:val="both"/>
              <w:rPr>
                <w:rFonts w:ascii="Times New Roman" w:hAnsi="Times New Roman" w:cs="Times New Roman"/>
                <w:sz w:val="24"/>
                <w:szCs w:val="24"/>
              </w:rPr>
            </w:pPr>
            <w:r>
              <w:rPr>
                <w:rFonts w:ascii="Times New Roman" w:hAnsi="Times New Roman" w:cs="Times New Roman"/>
                <w:sz w:val="24"/>
                <w:szCs w:val="24"/>
              </w:rPr>
              <w:t>Residential</w:t>
            </w:r>
          </w:p>
          <w:p w:rsidR="0060698F" w:rsidRPr="001B7AB4" w:rsidRDefault="0060698F" w:rsidP="0060698F">
            <w:pPr>
              <w:jc w:val="both"/>
              <w:rPr>
                <w:rFonts w:ascii="Times New Roman" w:hAnsi="Times New Roman" w:cs="Times New Roman"/>
                <w:sz w:val="24"/>
                <w:szCs w:val="24"/>
              </w:rPr>
            </w:pPr>
          </w:p>
          <w:p w:rsidR="0060698F" w:rsidRPr="001B7AB4" w:rsidRDefault="0060698F" w:rsidP="0060698F">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60698F" w:rsidRPr="001B7AB4" w:rsidRDefault="0060698F" w:rsidP="0060698F">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power point presentations, media center websites, reference materials, and other technology as available       </w:t>
            </w:r>
          </w:p>
          <w:p w:rsidR="00030A88" w:rsidRDefault="00030A88" w:rsidP="006110F7">
            <w:pPr>
              <w:jc w:val="both"/>
              <w:rPr>
                <w:rFonts w:ascii="Times New Roman" w:eastAsia="Times New Roman" w:hAnsi="Times New Roman" w:cs="Times New Roman"/>
                <w:b/>
                <w:sz w:val="24"/>
                <w:szCs w:val="24"/>
              </w:rPr>
            </w:pPr>
          </w:p>
          <w:p w:rsidR="00030A88" w:rsidRDefault="00030A88"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030A88" w:rsidRDefault="00030A88" w:rsidP="006110F7">
            <w:pPr>
              <w:jc w:val="both"/>
              <w:rPr>
                <w:rFonts w:ascii="Times New Roman" w:eastAsia="Times New Roman" w:hAnsi="Times New Roman" w:cs="Times New Roman"/>
                <w:sz w:val="24"/>
                <w:szCs w:val="24"/>
              </w:rPr>
            </w:pPr>
            <w:r w:rsidRPr="00030A88">
              <w:rPr>
                <w:rFonts w:ascii="Times New Roman" w:eastAsia="Times New Roman" w:hAnsi="Times New Roman" w:cs="Times New Roman"/>
                <w:sz w:val="24"/>
                <w:szCs w:val="24"/>
              </w:rPr>
              <w:t>In this course, students will:</w:t>
            </w:r>
          </w:p>
          <w:p w:rsidR="00030A88" w:rsidRDefault="00030A88" w:rsidP="00030A88">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used d</w:t>
            </w:r>
            <w:r w:rsidRPr="00030A88">
              <w:rPr>
                <w:rFonts w:ascii="Times New Roman" w:eastAsia="Times New Roman" w:hAnsi="Times New Roman" w:cs="Times New Roman"/>
                <w:sz w:val="24"/>
                <w:szCs w:val="24"/>
              </w:rPr>
              <w:t>rug Information and reference</w:t>
            </w:r>
          </w:p>
          <w:p w:rsidR="00030A88" w:rsidRDefault="00030A88" w:rsidP="00030A88">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w:t>
            </w:r>
            <w:r w:rsidRPr="00030A88">
              <w:rPr>
                <w:rFonts w:ascii="Times New Roman" w:eastAsia="Times New Roman" w:hAnsi="Times New Roman" w:cs="Times New Roman"/>
                <w:sz w:val="24"/>
                <w:szCs w:val="24"/>
              </w:rPr>
              <w:t>Institutional Pharmacy Practice</w:t>
            </w:r>
          </w:p>
          <w:p w:rsidR="00030A88" w:rsidRDefault="00030A88" w:rsidP="00030A88">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Comprehend t</w:t>
            </w:r>
            <w:r w:rsidRPr="00030A88">
              <w:rPr>
                <w:rFonts w:ascii="Times New Roman" w:eastAsia="Times New Roman" w:hAnsi="Times New Roman" w:cs="Times New Roman"/>
                <w:sz w:val="24"/>
                <w:szCs w:val="24"/>
              </w:rPr>
              <w:t>he Various Responsibilities of the Institutional Pharmacy Technician</w:t>
            </w:r>
          </w:p>
          <w:p w:rsidR="00030A88" w:rsidRPr="00030A88" w:rsidRDefault="00030A88" w:rsidP="00030A88">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able to perform </w:t>
            </w:r>
            <w:r w:rsidRPr="00030A88">
              <w:rPr>
                <w:rFonts w:ascii="Times New Roman" w:eastAsia="Times New Roman" w:hAnsi="Times New Roman" w:cs="Times New Roman"/>
                <w:sz w:val="24"/>
                <w:szCs w:val="24"/>
              </w:rPr>
              <w:t>Pharmacy Billing and Inventory Management</w:t>
            </w:r>
          </w:p>
        </w:tc>
      </w:tr>
      <w:tr w:rsidR="00F23CD4" w:rsidTr="00030A88">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B6495A" w:rsidP="00B6495A">
            <w:pPr>
              <w:pStyle w:val="ListParagraph"/>
              <w:numPr>
                <w:ilvl w:val="0"/>
                <w:numId w:val="4"/>
              </w:numPr>
              <w:spacing w:after="200" w:line="276" w:lineRule="auto"/>
              <w:ind w:left="210" w:hanging="180"/>
              <w:rPr>
                <w:rFonts w:ascii="Arial" w:hAnsi="Arial" w:cs="Arial"/>
                <w:kern w:val="28"/>
              </w:rPr>
            </w:pPr>
            <w:r>
              <w:rPr>
                <w:rFonts w:ascii="Arial" w:hAnsi="Arial" w:cs="Arial"/>
                <w:kern w:val="28"/>
              </w:rPr>
              <w:t xml:space="preserve">Review </w:t>
            </w:r>
            <w:r>
              <w:rPr>
                <w:rFonts w:ascii="Arial" w:hAnsi="Arial" w:cs="Arial"/>
                <w:bCs/>
                <w:kern w:val="28"/>
              </w:rPr>
              <w:t>Concepts and Laws</w:t>
            </w:r>
          </w:p>
        </w:tc>
        <w:tc>
          <w:tcPr>
            <w:tcW w:w="4680" w:type="dxa"/>
          </w:tcPr>
          <w:p w:rsidR="0005149F" w:rsidRPr="0005149F" w:rsidRDefault="00B6495A" w:rsidP="00B6495A">
            <w:pPr>
              <w:pStyle w:val="ListParagraph"/>
              <w:numPr>
                <w:ilvl w:val="0"/>
                <w:numId w:val="19"/>
              </w:numPr>
              <w:spacing w:line="276" w:lineRule="auto"/>
              <w:ind w:left="409"/>
              <w:rPr>
                <w:rFonts w:ascii="Arial" w:hAnsi="Arial" w:cs="Arial"/>
              </w:rPr>
            </w:pPr>
            <w:r>
              <w:rPr>
                <w:rFonts w:ascii="Arial" w:hAnsi="Arial" w:cs="Arial"/>
              </w:rPr>
              <w:t>Review General Concept of Pharmacy and different pharmacy settings</w:t>
            </w:r>
          </w:p>
          <w:p w:rsidR="0005149F" w:rsidRDefault="00B6495A" w:rsidP="00B6495A">
            <w:pPr>
              <w:pStyle w:val="ListParagraph"/>
              <w:numPr>
                <w:ilvl w:val="0"/>
                <w:numId w:val="19"/>
              </w:numPr>
              <w:spacing w:line="276" w:lineRule="auto"/>
              <w:ind w:left="409"/>
              <w:rPr>
                <w:rFonts w:ascii="Arial" w:hAnsi="Arial" w:cs="Arial"/>
              </w:rPr>
            </w:pPr>
            <w:r>
              <w:rPr>
                <w:rFonts w:ascii="Arial" w:hAnsi="Arial" w:cs="Arial"/>
              </w:rPr>
              <w:t xml:space="preserve">Review </w:t>
            </w:r>
            <w:r w:rsidRPr="00B6495A">
              <w:rPr>
                <w:rFonts w:ascii="Arial" w:hAnsi="Arial" w:cs="Arial"/>
              </w:rPr>
              <w:t>Pharmacy Law, Ethics, and regulatory Agencies</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lastRenderedPageBreak/>
              <w:t>History of the FDA</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1906 ‒ Pure Food and Drug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1914 ‒</w:t>
            </w:r>
            <w:r>
              <w:rPr>
                <w:rFonts w:ascii="Arial" w:hAnsi="Arial" w:cs="Arial"/>
              </w:rPr>
              <w:t xml:space="preserve"> Harrison Narcotics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1938 ‒ Food, Drug, and Cosmetic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1951 ‒ Durham-Humphrey Amendment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1962 ‒ Kefauver-Harris Amendments</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1970 ‒ Comprehensive Drug Abuse Prevention and Control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 xml:space="preserve">1983 ‒ Orphan Drug Act and 1987 ‒ Prescription Drug Marketing Act </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1990 ‒ Omnibus Budget Reconciliation Act (OBRA ’90</w:t>
            </w:r>
            <w:r>
              <w:rPr>
                <w:rFonts w:ascii="Arial" w:hAnsi="Arial" w:cs="Arial"/>
              </w:rPr>
              <w: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1996 ‒ Health Insurance Portability and Accountability Act (HIPAA)</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2000 ‒ Drug Addiction Treatment Act (DATA 2000</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2003 ‒ Medicare Modernization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2005 ‒ Combat Meth Act</w:t>
            </w:r>
          </w:p>
          <w:p w:rsidR="00B6495A" w:rsidRPr="00B6495A" w:rsidRDefault="00B6495A" w:rsidP="00B6495A">
            <w:pPr>
              <w:pStyle w:val="ListParagraph"/>
              <w:numPr>
                <w:ilvl w:val="0"/>
                <w:numId w:val="19"/>
              </w:numPr>
              <w:spacing w:line="276" w:lineRule="auto"/>
              <w:rPr>
                <w:rFonts w:ascii="Arial" w:hAnsi="Arial" w:cs="Arial"/>
              </w:rPr>
            </w:pPr>
            <w:r w:rsidRPr="003E6E7F">
              <w:rPr>
                <w:rFonts w:ascii="Arial" w:hAnsi="Arial" w:cs="Arial"/>
              </w:rPr>
              <w:t>2010 ‒ ACA and 2013 ‒ Drug Quality and Security Act</w:t>
            </w:r>
            <w:r>
              <w:rPr>
                <w:rFonts w:ascii="Arial" w:hAnsi="Arial" w:cs="Arial"/>
              </w:rPr>
              <w:t xml:space="preserve"> (OBAMA Care)</w:t>
            </w:r>
          </w:p>
        </w:tc>
        <w:tc>
          <w:tcPr>
            <w:tcW w:w="1800" w:type="dxa"/>
          </w:tcPr>
          <w:p w:rsidR="001E1A6F" w:rsidRPr="00CD4ADA" w:rsidRDefault="00CD4ADA" w:rsidP="00CD4ADA">
            <w:pPr>
              <w:rPr>
                <w:rFonts w:ascii="Arial" w:eastAsia="Times New Roman" w:hAnsi="Arial"/>
                <w:b/>
                <w:w w:val="0"/>
              </w:rPr>
            </w:pPr>
            <w:r w:rsidRPr="00CD4ADA">
              <w:rPr>
                <w:rFonts w:ascii="Arial" w:hAnsi="Arial" w:cs="Arial"/>
                <w:b/>
                <w:kern w:val="28"/>
              </w:rPr>
              <w:lastRenderedPageBreak/>
              <w:t xml:space="preserve">Discussion: </w:t>
            </w:r>
            <w:r w:rsidRPr="00CD4ADA">
              <w:rPr>
                <w:rFonts w:ascii="Arial" w:eastAsia="Times New Roman" w:hAnsi="Arial"/>
                <w:w w:val="0"/>
              </w:rPr>
              <w:t xml:space="preserve">The debate over legalization of marijuana has </w:t>
            </w:r>
            <w:r w:rsidRPr="00CD4ADA">
              <w:rPr>
                <w:rFonts w:ascii="Arial" w:eastAsia="Times New Roman" w:hAnsi="Arial"/>
                <w:w w:val="0"/>
              </w:rPr>
              <w:lastRenderedPageBreak/>
              <w:t>been going on for many years. What are the pros and cons of this argument? If this legislation is passed, how would it affect the pharmacy profession?</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0F607E" w:rsidRPr="0020666E" w:rsidRDefault="00B6495A" w:rsidP="00B6495A">
            <w:pPr>
              <w:pStyle w:val="ListParagraph"/>
              <w:numPr>
                <w:ilvl w:val="0"/>
                <w:numId w:val="7"/>
              </w:numPr>
              <w:spacing w:after="200" w:line="276" w:lineRule="auto"/>
              <w:ind w:left="210" w:hanging="180"/>
              <w:rPr>
                <w:rFonts w:ascii="Arial" w:hAnsi="Arial" w:cs="Arial"/>
                <w:kern w:val="28"/>
              </w:rPr>
            </w:pPr>
            <w:r w:rsidRPr="00B6495A">
              <w:rPr>
                <w:rFonts w:ascii="Arial" w:hAnsi="Arial" w:cs="Arial"/>
                <w:kern w:val="28"/>
              </w:rPr>
              <w:t>Drug Information References</w:t>
            </w:r>
          </w:p>
        </w:tc>
        <w:tc>
          <w:tcPr>
            <w:tcW w:w="4680" w:type="dxa"/>
          </w:tcPr>
          <w:p w:rsidR="00F81AAF" w:rsidRPr="00F81AAF" w:rsidRDefault="00F81AAF" w:rsidP="00F81AAF">
            <w:pPr>
              <w:pStyle w:val="ListParagraph"/>
              <w:numPr>
                <w:ilvl w:val="0"/>
                <w:numId w:val="19"/>
              </w:numPr>
              <w:spacing w:line="276" w:lineRule="auto"/>
              <w:ind w:left="499"/>
              <w:rPr>
                <w:rFonts w:ascii="Arial" w:hAnsi="Arial" w:cs="Arial"/>
              </w:rPr>
            </w:pPr>
            <w:r w:rsidRPr="00F81AAF">
              <w:rPr>
                <w:rFonts w:ascii="Arial" w:hAnsi="Arial" w:cs="Arial"/>
              </w:rPr>
              <w:t xml:space="preserve">Demonstrate the appropriate way to research drugs and other information from reference books, journals, and electronic resources. </w:t>
            </w:r>
          </w:p>
          <w:p w:rsidR="0005149F" w:rsidRDefault="00F81AAF" w:rsidP="00F81AAF">
            <w:pPr>
              <w:pStyle w:val="ListParagraph"/>
              <w:numPr>
                <w:ilvl w:val="0"/>
                <w:numId w:val="19"/>
              </w:numPr>
              <w:spacing w:line="276" w:lineRule="auto"/>
              <w:ind w:left="499"/>
              <w:rPr>
                <w:rFonts w:ascii="Arial" w:hAnsi="Arial" w:cs="Arial"/>
              </w:rPr>
            </w:pPr>
            <w:r w:rsidRPr="00F81AAF">
              <w:rPr>
                <w:rFonts w:ascii="Arial" w:hAnsi="Arial" w:cs="Arial"/>
              </w:rPr>
              <w:t xml:space="preserve">Demonstrate the appropriate way to reference drugs and other information from the Internet and other sources. </w:t>
            </w:r>
          </w:p>
          <w:p w:rsidR="00F81AAF" w:rsidRPr="00F81AAF" w:rsidRDefault="00F81AAF" w:rsidP="00F81AAF">
            <w:pPr>
              <w:pStyle w:val="ListParagraph"/>
              <w:numPr>
                <w:ilvl w:val="0"/>
                <w:numId w:val="19"/>
              </w:numPr>
              <w:spacing w:line="276" w:lineRule="auto"/>
              <w:ind w:left="499"/>
              <w:rPr>
                <w:rFonts w:ascii="Arial" w:hAnsi="Arial" w:cs="Arial"/>
              </w:rPr>
            </w:pPr>
            <w:r w:rsidRPr="00F81AAF">
              <w:rPr>
                <w:rFonts w:ascii="Arial" w:hAnsi="Arial" w:cs="Arial"/>
              </w:rPr>
              <w:t xml:space="preserve">Describe the information contained in the following references: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American Drug Index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American Hospital Formulary Service Drug Information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Approved Drug Products with Therapeutic Equivalence Evaluations</w:t>
            </w:r>
            <w:r w:rsidRPr="00F81AAF">
              <w:rPr>
                <w:rFonts w:ascii="Arial" w:hAnsi="Arial" w:cs="Arial"/>
              </w:rPr>
              <w:t xml:space="preserve"> (otherwise known as the </w:t>
            </w:r>
            <w:r w:rsidRPr="00F81AAF">
              <w:rPr>
                <w:rFonts w:ascii="Arial" w:hAnsi="Arial" w:cs="Arial"/>
                <w:i/>
              </w:rPr>
              <w:t xml:space="preserve">“Orange Book”)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Clinical Pharmacology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Drug Facts and Comparisons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Drug Topics Red Book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Geriatric Dosage Handbook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Goodman &amp; Gilman’s The Pharmacological Basis of Therapeutics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Handbook of Nonprescription Drugs</w:t>
            </w:r>
          </w:p>
        </w:tc>
        <w:tc>
          <w:tcPr>
            <w:tcW w:w="1800" w:type="dxa"/>
          </w:tcPr>
          <w:p w:rsidR="000F607E" w:rsidRPr="000912E2" w:rsidRDefault="000912E2" w:rsidP="000912E2">
            <w:pPr>
              <w:widowControl w:val="0"/>
              <w:overflowPunct w:val="0"/>
              <w:autoSpaceDE w:val="0"/>
              <w:autoSpaceDN w:val="0"/>
              <w:adjustRightInd w:val="0"/>
              <w:rPr>
                <w:rFonts w:ascii="Arial" w:hAnsi="Arial" w:cs="Arial"/>
              </w:rPr>
            </w:pPr>
            <w:r w:rsidRPr="000912E2">
              <w:rPr>
                <w:rFonts w:ascii="Arial" w:hAnsi="Arial" w:cs="Arial"/>
                <w:b/>
              </w:rPr>
              <w:t>Discussion:</w:t>
            </w:r>
            <w:r w:rsidRPr="000912E2">
              <w:rPr>
                <w:rFonts w:ascii="Arial" w:hAnsi="Arial" w:cs="Arial"/>
              </w:rPr>
              <w:t xml:space="preserve"> Should pharmacists be allowed to prescribe prescription medications? What states already have regulations in place on this issue?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Pr="00867EC7" w:rsidRDefault="00F81AAF" w:rsidP="0020666E">
            <w:pPr>
              <w:pStyle w:val="ListParagraph"/>
              <w:numPr>
                <w:ilvl w:val="0"/>
                <w:numId w:val="7"/>
              </w:numPr>
              <w:spacing w:after="200" w:line="276" w:lineRule="auto"/>
              <w:ind w:left="210" w:hanging="180"/>
              <w:rPr>
                <w:rFonts w:ascii="Arial" w:hAnsi="Arial" w:cs="Arial"/>
                <w:kern w:val="28"/>
              </w:rPr>
            </w:pPr>
            <w:r>
              <w:rPr>
                <w:rFonts w:ascii="Arial" w:hAnsi="Arial" w:cs="Arial"/>
                <w:kern w:val="28"/>
              </w:rPr>
              <w:t>Drug Information and reference</w:t>
            </w:r>
          </w:p>
        </w:tc>
        <w:tc>
          <w:tcPr>
            <w:tcW w:w="4680" w:type="dxa"/>
          </w:tcPr>
          <w:p w:rsidR="00F81AAF" w:rsidRDefault="00F81AAF" w:rsidP="00F81AAF">
            <w:pPr>
              <w:pStyle w:val="ListParagraph"/>
              <w:numPr>
                <w:ilvl w:val="0"/>
                <w:numId w:val="19"/>
              </w:numPr>
              <w:spacing w:line="276" w:lineRule="auto"/>
              <w:ind w:left="409"/>
              <w:rPr>
                <w:rFonts w:ascii="Arial" w:hAnsi="Arial" w:cs="Arial"/>
              </w:rPr>
            </w:pPr>
            <w:r>
              <w:rPr>
                <w:rFonts w:ascii="Arial" w:hAnsi="Arial" w:cs="Arial"/>
              </w:rPr>
              <w:t>Describe the information contained in the following references:</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Ident-A-Drug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Martindale’s The Complete Drug Reference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lastRenderedPageBreak/>
              <w:t xml:space="preserve">Micromedex Healthcare Evidence and Clinical </w:t>
            </w:r>
            <w:proofErr w:type="spellStart"/>
            <w:r w:rsidRPr="00F81AAF">
              <w:rPr>
                <w:rFonts w:ascii="Arial" w:hAnsi="Arial" w:cs="Arial"/>
                <w:i/>
              </w:rPr>
              <w:t>Xpert</w:t>
            </w:r>
            <w:proofErr w:type="spellEnd"/>
            <w:r w:rsidRPr="00F81AAF">
              <w:rPr>
                <w:rFonts w:ascii="Arial" w:hAnsi="Arial" w:cs="Arial"/>
                <w:i/>
              </w:rPr>
              <w:t xml:space="preserve">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Pediatric and Neonatal Dosage Handbook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Physicians’ Desk Reference (PDR)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Remington’s Pharmaceutical Sciences: </w:t>
            </w:r>
            <w:proofErr w:type="gramStart"/>
            <w:r w:rsidRPr="00F81AAF">
              <w:rPr>
                <w:rFonts w:ascii="Arial" w:hAnsi="Arial" w:cs="Arial"/>
                <w:i/>
              </w:rPr>
              <w:t>the</w:t>
            </w:r>
            <w:proofErr w:type="gramEnd"/>
            <w:r w:rsidRPr="00F81AAF">
              <w:rPr>
                <w:rFonts w:ascii="Arial" w:hAnsi="Arial" w:cs="Arial"/>
                <w:i/>
              </w:rPr>
              <w:t xml:space="preserve"> Science and Practice of Pharmacy </w:t>
            </w:r>
          </w:p>
          <w:p w:rsidR="00F81AAF" w:rsidRPr="00F81AAF" w:rsidRDefault="00F81AAF" w:rsidP="00F81AAF">
            <w:pPr>
              <w:pStyle w:val="ListParagraph"/>
              <w:numPr>
                <w:ilvl w:val="0"/>
                <w:numId w:val="19"/>
              </w:numPr>
              <w:spacing w:line="276" w:lineRule="auto"/>
              <w:ind w:left="859"/>
              <w:rPr>
                <w:rFonts w:ascii="Arial" w:hAnsi="Arial" w:cs="Arial"/>
                <w:i/>
              </w:rPr>
            </w:pPr>
            <w:proofErr w:type="spellStart"/>
            <w:r w:rsidRPr="00F81AAF">
              <w:rPr>
                <w:rFonts w:ascii="Arial" w:hAnsi="Arial" w:cs="Arial"/>
                <w:i/>
              </w:rPr>
              <w:t>Trissel’s</w:t>
            </w:r>
            <w:proofErr w:type="spellEnd"/>
            <w:r w:rsidRPr="00F81AAF">
              <w:rPr>
                <w:rFonts w:ascii="Arial" w:hAnsi="Arial" w:cs="Arial"/>
                <w:i/>
              </w:rPr>
              <w:t xml:space="preserve"> Handbook on Injectable Drugs </w:t>
            </w:r>
          </w:p>
          <w:p w:rsidR="003E6E7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United States Pharmacist’s Pharmacopeia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6110F7" w:rsidRPr="00D870B4" w:rsidRDefault="00F81AAF"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Drug Information and reference</w:t>
            </w:r>
          </w:p>
        </w:tc>
        <w:tc>
          <w:tcPr>
            <w:tcW w:w="4680" w:type="dxa"/>
          </w:tcPr>
          <w:p w:rsidR="00F81AAF"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 xml:space="preserve">Explain the importance of carrying a pocket-sized reference book. </w:t>
            </w:r>
          </w:p>
          <w:p w:rsidR="00F81AAF" w:rsidRPr="00F81AAF" w:rsidRDefault="00F81AAF" w:rsidP="00F81AAF">
            <w:pPr>
              <w:pStyle w:val="ListParagraph"/>
              <w:numPr>
                <w:ilvl w:val="0"/>
                <w:numId w:val="19"/>
              </w:numPr>
              <w:spacing w:line="276" w:lineRule="auto"/>
              <w:ind w:left="769"/>
              <w:rPr>
                <w:rFonts w:ascii="Arial" w:hAnsi="Arial" w:cs="Arial"/>
              </w:rPr>
            </w:pPr>
            <w:r w:rsidRPr="00F81AAF">
              <w:rPr>
                <w:rFonts w:ascii="Arial" w:hAnsi="Arial" w:cs="Arial"/>
              </w:rPr>
              <w:t>Mostly used in the hospital setting</w:t>
            </w:r>
          </w:p>
          <w:p w:rsidR="00F81AAF" w:rsidRPr="00F81AAF" w:rsidRDefault="00F81AAF" w:rsidP="00F81AAF">
            <w:pPr>
              <w:pStyle w:val="ListParagraph"/>
              <w:numPr>
                <w:ilvl w:val="0"/>
                <w:numId w:val="19"/>
              </w:numPr>
              <w:spacing w:line="276" w:lineRule="auto"/>
              <w:ind w:left="769"/>
              <w:rPr>
                <w:rFonts w:ascii="Arial" w:hAnsi="Arial" w:cs="Arial"/>
              </w:rPr>
            </w:pPr>
            <w:r w:rsidRPr="00F81AAF">
              <w:rPr>
                <w:rFonts w:ascii="Arial" w:hAnsi="Arial" w:cs="Arial"/>
              </w:rPr>
              <w:t>Provides information on the compatibility of various agents given parenterally</w:t>
            </w:r>
          </w:p>
          <w:p w:rsidR="00F81AAF" w:rsidRPr="00F81AAF" w:rsidRDefault="00F81AAF" w:rsidP="00F81AAF">
            <w:pPr>
              <w:pStyle w:val="ListParagraph"/>
              <w:numPr>
                <w:ilvl w:val="0"/>
                <w:numId w:val="19"/>
              </w:numPr>
              <w:spacing w:line="276" w:lineRule="auto"/>
              <w:ind w:left="769"/>
              <w:rPr>
                <w:rFonts w:ascii="Arial" w:hAnsi="Arial" w:cs="Arial"/>
              </w:rPr>
            </w:pPr>
            <w:r w:rsidRPr="00F81AAF">
              <w:rPr>
                <w:rFonts w:ascii="Arial" w:hAnsi="Arial" w:cs="Arial"/>
              </w:rPr>
              <w:t>Monographs discuss products, administration, stability, and compatibility with in</w:t>
            </w:r>
            <w:r>
              <w:rPr>
                <w:rFonts w:ascii="Arial" w:hAnsi="Arial" w:cs="Arial"/>
              </w:rPr>
              <w:t>fusion solutions and other drugs</w:t>
            </w:r>
          </w:p>
          <w:p w:rsidR="00F81AAF"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List types of electronic reference materials.</w:t>
            </w:r>
          </w:p>
          <w:p w:rsidR="00F81AAF" w:rsidRPr="00F81AAF" w:rsidRDefault="00F81AAF" w:rsidP="00F81AAF">
            <w:pPr>
              <w:pStyle w:val="ListParagraph"/>
              <w:numPr>
                <w:ilvl w:val="0"/>
                <w:numId w:val="19"/>
              </w:numPr>
              <w:spacing w:line="276" w:lineRule="auto"/>
              <w:rPr>
                <w:rFonts w:ascii="Arial" w:hAnsi="Arial" w:cs="Arial"/>
              </w:rPr>
            </w:pPr>
            <w:r w:rsidRPr="00F81AAF">
              <w:rPr>
                <w:rFonts w:ascii="Arial" w:hAnsi="Arial" w:cs="Arial"/>
              </w:rPr>
              <w:t xml:space="preserve"> Handheld devices such as electronic tablets and smart phones</w:t>
            </w:r>
          </w:p>
          <w:p w:rsidR="00F81AAF" w:rsidRPr="00F81AAF" w:rsidRDefault="00F81AAF" w:rsidP="00F81AAF">
            <w:pPr>
              <w:pStyle w:val="ListParagraph"/>
              <w:numPr>
                <w:ilvl w:val="0"/>
                <w:numId w:val="19"/>
              </w:numPr>
              <w:spacing w:line="276" w:lineRule="auto"/>
              <w:rPr>
                <w:rFonts w:ascii="Arial" w:hAnsi="Arial" w:cs="Arial"/>
              </w:rPr>
            </w:pPr>
            <w:r w:rsidRPr="00F81AAF">
              <w:rPr>
                <w:rFonts w:ascii="Arial" w:hAnsi="Arial" w:cs="Arial"/>
              </w:rPr>
              <w:t>Drug guides can be downloaded</w:t>
            </w:r>
          </w:p>
          <w:p w:rsidR="00F81AAF" w:rsidRPr="00F81AAF" w:rsidRDefault="00F81AAF" w:rsidP="00F81AAF">
            <w:pPr>
              <w:pStyle w:val="ListParagraph"/>
              <w:numPr>
                <w:ilvl w:val="0"/>
                <w:numId w:val="19"/>
              </w:numPr>
              <w:spacing w:line="276" w:lineRule="auto"/>
              <w:rPr>
                <w:rFonts w:ascii="Arial" w:hAnsi="Arial" w:cs="Arial"/>
              </w:rPr>
            </w:pPr>
            <w:r w:rsidRPr="00F81AAF">
              <w:rPr>
                <w:rFonts w:ascii="Arial" w:hAnsi="Arial" w:cs="Arial"/>
              </w:rPr>
              <w:t>Devices are small enough to carry in the pocket</w:t>
            </w:r>
          </w:p>
          <w:p w:rsidR="00F81AAF" w:rsidRPr="00F81AAF" w:rsidRDefault="00F81AAF" w:rsidP="00F81AAF">
            <w:pPr>
              <w:pStyle w:val="ListParagraph"/>
              <w:numPr>
                <w:ilvl w:val="0"/>
                <w:numId w:val="19"/>
              </w:numPr>
              <w:spacing w:line="276" w:lineRule="auto"/>
              <w:rPr>
                <w:rFonts w:ascii="Arial" w:hAnsi="Arial" w:cs="Arial"/>
              </w:rPr>
            </w:pPr>
            <w:r w:rsidRPr="00F81AAF">
              <w:rPr>
                <w:rFonts w:ascii="Arial" w:hAnsi="Arial" w:cs="Arial"/>
              </w:rPr>
              <w:t>CD-ROM</w:t>
            </w:r>
          </w:p>
          <w:p w:rsidR="00F81AAF" w:rsidRPr="00F81AAF"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 xml:space="preserve">Explain the importance of journals and newsmagazines as they pertain to pharmacy and continuing education. </w:t>
            </w:r>
          </w:p>
          <w:p w:rsidR="00F81AAF" w:rsidRPr="00F81AAF"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 xml:space="preserve">Describe different considerations when choosing a reference. </w:t>
            </w:r>
          </w:p>
          <w:p w:rsidR="00135186" w:rsidRPr="00135186"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Identify the benefits of joining a pharmacy association.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404889" w:rsidTr="000D78A3">
        <w:trPr>
          <w:jc w:val="center"/>
        </w:trPr>
        <w:tc>
          <w:tcPr>
            <w:tcW w:w="1728" w:type="dxa"/>
          </w:tcPr>
          <w:p w:rsidR="00404889" w:rsidRDefault="00404889" w:rsidP="0040488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04889" w:rsidRPr="004F0876" w:rsidRDefault="00404889" w:rsidP="00404889">
            <w:pPr>
              <w:pStyle w:val="ListParagraph"/>
              <w:numPr>
                <w:ilvl w:val="0"/>
                <w:numId w:val="7"/>
              </w:numPr>
              <w:spacing w:after="200" w:line="276" w:lineRule="auto"/>
              <w:ind w:left="198" w:hanging="198"/>
              <w:rPr>
                <w:rFonts w:ascii="Arial" w:hAnsi="Arial" w:cs="Arial"/>
                <w:kern w:val="28"/>
              </w:rPr>
            </w:pPr>
            <w:r>
              <w:rPr>
                <w:rFonts w:ascii="Arial" w:hAnsi="Arial" w:cs="Arial"/>
                <w:kern w:val="28"/>
              </w:rPr>
              <w:t>Institutional Pharmacy Practice</w:t>
            </w:r>
          </w:p>
        </w:tc>
        <w:tc>
          <w:tcPr>
            <w:tcW w:w="4680" w:type="dxa"/>
          </w:tcPr>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Define the most common tasks performed by hospital pharmacy technicians.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different types of hospital pharmacy settings.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Discuss different hospital pharmacy standards and procedures.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the difference between formulary and non-formulary medication lists. </w:t>
            </w:r>
          </w:p>
        </w:tc>
        <w:tc>
          <w:tcPr>
            <w:tcW w:w="1800" w:type="dxa"/>
          </w:tcPr>
          <w:p w:rsidR="00404889" w:rsidRPr="00404889" w:rsidRDefault="00404889" w:rsidP="00404889">
            <w:pPr>
              <w:pStyle w:val="ListParagraph"/>
              <w:numPr>
                <w:ilvl w:val="0"/>
                <w:numId w:val="7"/>
              </w:numPr>
              <w:ind w:left="139" w:hanging="180"/>
            </w:pPr>
            <w:r w:rsidRPr="00404889">
              <w:t xml:space="preserve">Handout </w:t>
            </w:r>
          </w:p>
          <w:p w:rsidR="00404889" w:rsidRPr="00404889" w:rsidRDefault="00404889" w:rsidP="00404889">
            <w:pPr>
              <w:pStyle w:val="ListParagraph"/>
              <w:numPr>
                <w:ilvl w:val="0"/>
                <w:numId w:val="7"/>
              </w:numPr>
              <w:ind w:left="139" w:hanging="180"/>
            </w:pPr>
            <w:r w:rsidRPr="00404889">
              <w:t>Book Exercise</w:t>
            </w:r>
          </w:p>
        </w:tc>
      </w:tr>
      <w:tr w:rsidR="00404889" w:rsidTr="000D78A3">
        <w:trPr>
          <w:jc w:val="center"/>
        </w:trPr>
        <w:tc>
          <w:tcPr>
            <w:tcW w:w="1728" w:type="dxa"/>
          </w:tcPr>
          <w:p w:rsidR="00404889" w:rsidRDefault="00404889" w:rsidP="0040488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404889" w:rsidRPr="00C467F2" w:rsidRDefault="00404889" w:rsidP="00404889">
            <w:pPr>
              <w:pStyle w:val="ListParagraph"/>
              <w:numPr>
                <w:ilvl w:val="0"/>
                <w:numId w:val="7"/>
              </w:numPr>
              <w:spacing w:after="200" w:line="276" w:lineRule="auto"/>
              <w:ind w:left="198" w:hanging="198"/>
              <w:rPr>
                <w:rFonts w:ascii="Arial" w:hAnsi="Arial" w:cs="Arial"/>
                <w:kern w:val="28"/>
              </w:rPr>
            </w:pPr>
            <w:r>
              <w:rPr>
                <w:rFonts w:ascii="Arial" w:hAnsi="Arial" w:cs="Arial"/>
                <w:kern w:val="28"/>
              </w:rPr>
              <w:t>Institutional Pharmacy Practice</w:t>
            </w:r>
          </w:p>
        </w:tc>
        <w:tc>
          <w:tcPr>
            <w:tcW w:w="4680" w:type="dxa"/>
          </w:tcPr>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Explain the importance of a good relationship between the pharmacy and the nursing staff.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different regulatory agencies that govern the operations of hospitals, including pharmacies in the hospital.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lastRenderedPageBreak/>
              <w:t xml:space="preserve">List various ways orders are processed by the pharmacy.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the difference between stat, ASAP, and standing orders. </w:t>
            </w:r>
          </w:p>
          <w:p w:rsidR="00404889" w:rsidRPr="00A509A3"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Describe how POE, CPOE, BPOE, and CADM systems are used in medication ordering.</w:t>
            </w:r>
          </w:p>
        </w:tc>
        <w:tc>
          <w:tcPr>
            <w:tcW w:w="1800" w:type="dxa"/>
          </w:tcPr>
          <w:p w:rsidR="00404889" w:rsidRPr="00404889" w:rsidRDefault="00404889" w:rsidP="00404889">
            <w:pPr>
              <w:pStyle w:val="ListParagraph"/>
              <w:numPr>
                <w:ilvl w:val="0"/>
                <w:numId w:val="7"/>
              </w:numPr>
              <w:ind w:left="139" w:hanging="180"/>
            </w:pPr>
            <w:r w:rsidRPr="00404889">
              <w:lastRenderedPageBreak/>
              <w:t xml:space="preserve">Handout </w:t>
            </w:r>
          </w:p>
          <w:p w:rsidR="00404889" w:rsidRPr="00404889" w:rsidRDefault="00404889" w:rsidP="00404889">
            <w:pPr>
              <w:pStyle w:val="ListParagraph"/>
              <w:numPr>
                <w:ilvl w:val="0"/>
                <w:numId w:val="7"/>
              </w:numPr>
              <w:ind w:left="139" w:hanging="180"/>
            </w:pPr>
            <w:r w:rsidRPr="00404889">
              <w:t>Book Exercise</w:t>
            </w:r>
          </w:p>
        </w:tc>
      </w:tr>
      <w:tr w:rsidR="00404889" w:rsidTr="000D78A3">
        <w:trPr>
          <w:jc w:val="center"/>
        </w:trPr>
        <w:tc>
          <w:tcPr>
            <w:tcW w:w="1728" w:type="dxa"/>
          </w:tcPr>
          <w:p w:rsidR="00404889" w:rsidRDefault="00404889" w:rsidP="0040488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404889" w:rsidRPr="00C467F2" w:rsidRDefault="00404889" w:rsidP="00404889">
            <w:pPr>
              <w:numPr>
                <w:ilvl w:val="0"/>
                <w:numId w:val="5"/>
              </w:numPr>
              <w:spacing w:after="200" w:line="276" w:lineRule="auto"/>
              <w:ind w:left="198" w:hanging="198"/>
              <w:rPr>
                <w:rFonts w:ascii="Arial" w:hAnsi="Arial" w:cs="Arial"/>
                <w:bCs/>
                <w:kern w:val="28"/>
              </w:rPr>
            </w:pPr>
            <w:r>
              <w:rPr>
                <w:rFonts w:ascii="Arial" w:hAnsi="Arial" w:cs="Arial"/>
                <w:kern w:val="28"/>
              </w:rPr>
              <w:t xml:space="preserve">The Various Responsibilities of the Institutional Pharmacy Technician </w:t>
            </w:r>
          </w:p>
        </w:tc>
        <w:tc>
          <w:tcPr>
            <w:tcW w:w="4680" w:type="dxa"/>
          </w:tcPr>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the responsibilities of an institutional pharmacy technician.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Describe the technician’s role in the IND process.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Describe the advantages of using automated dispensing systems (ADS).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Explain the importance of counting, dispensing, and tracking controlled substances.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Explain what PAR levels are and who is responsible for maintaining them.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the difference between hazardous and non-hazardous IV preparation. </w:t>
            </w:r>
          </w:p>
        </w:tc>
        <w:tc>
          <w:tcPr>
            <w:tcW w:w="1800" w:type="dxa"/>
          </w:tcPr>
          <w:p w:rsidR="00404889" w:rsidRPr="00404889" w:rsidRDefault="00404889" w:rsidP="00404889">
            <w:pPr>
              <w:pStyle w:val="ListParagraph"/>
              <w:numPr>
                <w:ilvl w:val="0"/>
                <w:numId w:val="7"/>
              </w:numPr>
              <w:ind w:left="139" w:hanging="180"/>
            </w:pPr>
            <w:r w:rsidRPr="00404889">
              <w:t xml:space="preserve">Handout </w:t>
            </w:r>
          </w:p>
          <w:p w:rsidR="00404889" w:rsidRPr="00404889" w:rsidRDefault="00404889" w:rsidP="00404889">
            <w:pPr>
              <w:pStyle w:val="ListParagraph"/>
              <w:numPr>
                <w:ilvl w:val="0"/>
                <w:numId w:val="7"/>
              </w:numPr>
              <w:ind w:left="139" w:hanging="180"/>
            </w:pPr>
            <w:r w:rsidRPr="00404889">
              <w:t>Book Exercise</w:t>
            </w:r>
          </w:p>
        </w:tc>
      </w:tr>
      <w:tr w:rsidR="00404889" w:rsidTr="000D78A3">
        <w:trPr>
          <w:jc w:val="center"/>
        </w:trPr>
        <w:tc>
          <w:tcPr>
            <w:tcW w:w="1728" w:type="dxa"/>
          </w:tcPr>
          <w:p w:rsidR="00404889" w:rsidRDefault="00404889" w:rsidP="0040488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04889" w:rsidRPr="001C663C" w:rsidRDefault="00404889" w:rsidP="00404889">
            <w:pPr>
              <w:pStyle w:val="ListParagraph"/>
              <w:numPr>
                <w:ilvl w:val="0"/>
                <w:numId w:val="7"/>
              </w:numPr>
              <w:spacing w:after="200" w:line="276" w:lineRule="auto"/>
              <w:ind w:left="229" w:hanging="196"/>
              <w:rPr>
                <w:rFonts w:ascii="Arial" w:hAnsi="Arial" w:cs="Arial"/>
                <w:kern w:val="28"/>
              </w:rPr>
            </w:pPr>
            <w:r>
              <w:rPr>
                <w:rFonts w:ascii="Arial" w:hAnsi="Arial" w:cs="Arial"/>
                <w:kern w:val="28"/>
              </w:rPr>
              <w:t>Institutional Pharmacy Practice</w:t>
            </w:r>
          </w:p>
        </w:tc>
        <w:tc>
          <w:tcPr>
            <w:tcW w:w="4680" w:type="dxa"/>
          </w:tcPr>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Explain the importance of aseptic technique for the technician preparing compounded sterile preparations (CSPs).</w:t>
            </w:r>
          </w:p>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 xml:space="preserve">Identify the duties involved in ordering and maintaining the stock levels of the pharmacy. </w:t>
            </w:r>
          </w:p>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 xml:space="preserve">Recognize the differences in floor stock, depending on the area of the hospital. </w:t>
            </w:r>
          </w:p>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 xml:space="preserve">Identify specialty areas of the hospital for which the pharmacy stocks or orders medication. </w:t>
            </w:r>
          </w:p>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Describe the importance of ongoing technician education and identify professional organizations that institutional technicians can join.</w:t>
            </w:r>
          </w:p>
        </w:tc>
        <w:tc>
          <w:tcPr>
            <w:tcW w:w="1800" w:type="dxa"/>
          </w:tcPr>
          <w:p w:rsidR="00404889" w:rsidRPr="00404889" w:rsidRDefault="00404889" w:rsidP="00404889">
            <w:pPr>
              <w:pStyle w:val="ListParagraph"/>
              <w:numPr>
                <w:ilvl w:val="0"/>
                <w:numId w:val="7"/>
              </w:numPr>
              <w:ind w:left="139" w:hanging="180"/>
            </w:pPr>
            <w:r w:rsidRPr="00404889">
              <w:t xml:space="preserve">Handout </w:t>
            </w:r>
          </w:p>
          <w:p w:rsidR="00404889" w:rsidRPr="00404889" w:rsidRDefault="00404889" w:rsidP="00404889">
            <w:pPr>
              <w:pStyle w:val="ListParagraph"/>
              <w:numPr>
                <w:ilvl w:val="0"/>
                <w:numId w:val="7"/>
              </w:numPr>
              <w:ind w:left="139" w:hanging="180"/>
            </w:pPr>
            <w:r w:rsidRPr="00404889">
              <w:t>Book Exercise</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CA5535" w:rsidTr="000D78A3">
        <w:trPr>
          <w:jc w:val="center"/>
        </w:trPr>
        <w:tc>
          <w:tcPr>
            <w:tcW w:w="1728" w:type="dxa"/>
          </w:tcPr>
          <w:p w:rsidR="00CA5535" w:rsidRDefault="00CA5535" w:rsidP="00CA5535">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CA5535" w:rsidRPr="004F0876" w:rsidRDefault="009C3912" w:rsidP="00CA5535">
            <w:pPr>
              <w:pStyle w:val="ListParagraph"/>
              <w:numPr>
                <w:ilvl w:val="0"/>
                <w:numId w:val="7"/>
              </w:numPr>
              <w:spacing w:after="200" w:line="276" w:lineRule="auto"/>
              <w:ind w:left="198" w:hanging="198"/>
              <w:rPr>
                <w:rFonts w:ascii="Arial" w:hAnsi="Arial" w:cs="Arial"/>
                <w:kern w:val="28"/>
              </w:rPr>
            </w:pPr>
            <w:r w:rsidRPr="009C3912">
              <w:rPr>
                <w:rFonts w:ascii="Arial" w:hAnsi="Arial" w:cs="Arial"/>
                <w:kern w:val="28"/>
              </w:rPr>
              <w:t>Pharmacy Billing and Inventory Management</w:t>
            </w:r>
          </w:p>
        </w:tc>
        <w:tc>
          <w:tcPr>
            <w:tcW w:w="4680" w:type="dxa"/>
          </w:tcPr>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Discuss the importance of pharmacy billing and inventory management to the pharmacy practice.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Explain the function of a drug formulary in insurance plans.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Describe the role of the pharmacy technician in the drug utilization evaluation. </w:t>
            </w:r>
          </w:p>
          <w:p w:rsidR="00CA5535"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Discuss how a drug formulary or an approved/preferred product list affects pharmacy billing and inventory control. </w:t>
            </w:r>
          </w:p>
        </w:tc>
        <w:tc>
          <w:tcPr>
            <w:tcW w:w="1800" w:type="dxa"/>
          </w:tcPr>
          <w:p w:rsidR="00CA5535" w:rsidRDefault="00CA5535" w:rsidP="00CA5535">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CA5535" w:rsidRPr="001E1A6F" w:rsidRDefault="00CA5535" w:rsidP="00CA5535">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CA5535" w:rsidTr="000D78A3">
        <w:trPr>
          <w:jc w:val="center"/>
        </w:trPr>
        <w:tc>
          <w:tcPr>
            <w:tcW w:w="1728" w:type="dxa"/>
          </w:tcPr>
          <w:p w:rsidR="00CA5535" w:rsidRDefault="00CA5535" w:rsidP="00CA5535">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CA5535" w:rsidRPr="00C467F2" w:rsidRDefault="009C3912" w:rsidP="00CA5535">
            <w:pPr>
              <w:pStyle w:val="ListParagraph"/>
              <w:numPr>
                <w:ilvl w:val="0"/>
                <w:numId w:val="7"/>
              </w:numPr>
              <w:spacing w:after="200" w:line="276" w:lineRule="auto"/>
              <w:ind w:left="198" w:hanging="198"/>
              <w:rPr>
                <w:rFonts w:ascii="Arial" w:hAnsi="Arial" w:cs="Arial"/>
                <w:kern w:val="28"/>
              </w:rPr>
            </w:pPr>
            <w:r w:rsidRPr="009C3912">
              <w:rPr>
                <w:rFonts w:ascii="Arial" w:hAnsi="Arial" w:cs="Arial"/>
                <w:kern w:val="28"/>
              </w:rPr>
              <w:t>Pharmacy Billing and Inventory Management</w:t>
            </w:r>
          </w:p>
        </w:tc>
        <w:tc>
          <w:tcPr>
            <w:tcW w:w="4680" w:type="dxa"/>
          </w:tcPr>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Assess the differences between generic and trade name (proprietary) drugs in pharmacy billing.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List the primary types of private and group medical insurance plans.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Describe how each type of private and group insurance manages drug coverage. </w:t>
            </w:r>
          </w:p>
          <w:p w:rsidR="00CA5535"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Differentiate between Medicare, Medicaid, and </w:t>
            </w:r>
            <w:proofErr w:type="spellStart"/>
            <w:r w:rsidRPr="009C3912">
              <w:rPr>
                <w:rFonts w:ascii="Arial" w:hAnsi="Arial" w:cs="Arial"/>
              </w:rPr>
              <w:t>Medigap</w:t>
            </w:r>
            <w:proofErr w:type="spellEnd"/>
            <w:r w:rsidRPr="009C3912">
              <w:rPr>
                <w:rFonts w:ascii="Arial" w:hAnsi="Arial" w:cs="Arial"/>
              </w:rPr>
              <w:t xml:space="preserve"> programs. </w:t>
            </w:r>
          </w:p>
        </w:tc>
        <w:tc>
          <w:tcPr>
            <w:tcW w:w="1800" w:type="dxa"/>
          </w:tcPr>
          <w:p w:rsidR="00CA5535" w:rsidRPr="00487847" w:rsidRDefault="00CA5535" w:rsidP="00CA5535">
            <w:pPr>
              <w:widowControl w:val="0"/>
              <w:overflowPunct w:val="0"/>
              <w:autoSpaceDE w:val="0"/>
              <w:autoSpaceDN w:val="0"/>
              <w:adjustRightInd w:val="0"/>
              <w:ind w:left="140" w:hanging="140"/>
              <w:jc w:val="both"/>
              <w:rPr>
                <w:rFonts w:ascii="Arial" w:hAnsi="Arial" w:cs="Arial"/>
                <w:kern w:val="28"/>
              </w:rPr>
            </w:pPr>
          </w:p>
        </w:tc>
      </w:tr>
      <w:tr w:rsidR="00CA5535" w:rsidTr="000D78A3">
        <w:trPr>
          <w:jc w:val="center"/>
        </w:trPr>
        <w:tc>
          <w:tcPr>
            <w:tcW w:w="1728" w:type="dxa"/>
          </w:tcPr>
          <w:p w:rsidR="00CA5535" w:rsidRDefault="00CA5535" w:rsidP="00CA5535">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CA5535" w:rsidRPr="00C467F2" w:rsidRDefault="009C3912" w:rsidP="00CA5535">
            <w:pPr>
              <w:numPr>
                <w:ilvl w:val="0"/>
                <w:numId w:val="5"/>
              </w:numPr>
              <w:spacing w:after="200" w:line="276" w:lineRule="auto"/>
              <w:ind w:left="198" w:hanging="198"/>
              <w:rPr>
                <w:rFonts w:ascii="Arial" w:hAnsi="Arial" w:cs="Arial"/>
                <w:bCs/>
                <w:kern w:val="28"/>
              </w:rPr>
            </w:pPr>
            <w:r w:rsidRPr="009C3912">
              <w:rPr>
                <w:rFonts w:ascii="Arial" w:hAnsi="Arial" w:cs="Arial"/>
                <w:kern w:val="28"/>
              </w:rPr>
              <w:t>Pharmacy Billing and Inventory Management</w:t>
            </w:r>
          </w:p>
        </w:tc>
        <w:tc>
          <w:tcPr>
            <w:tcW w:w="4680" w:type="dxa"/>
          </w:tcPr>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List the four parts of Medicare coverage.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Differentiate between TRICARE and CHAMPVA benefits.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Describe worker’s compensation coverage.</w:t>
            </w:r>
          </w:p>
          <w:p w:rsidR="00CA5535" w:rsidRPr="009C3912" w:rsidRDefault="009C3912" w:rsidP="00370451">
            <w:pPr>
              <w:pStyle w:val="ListParagraph"/>
              <w:numPr>
                <w:ilvl w:val="0"/>
                <w:numId w:val="19"/>
              </w:numPr>
              <w:ind w:left="409"/>
              <w:rPr>
                <w:rFonts w:ascii="Arial" w:hAnsi="Arial" w:cs="Arial"/>
              </w:rPr>
            </w:pPr>
            <w:r w:rsidRPr="009C3912">
              <w:rPr>
                <w:rFonts w:ascii="Arial" w:hAnsi="Arial" w:cs="Arial"/>
              </w:rPr>
              <w:t xml:space="preserve">Explain the purpose of third-party billing. </w:t>
            </w:r>
          </w:p>
        </w:tc>
        <w:tc>
          <w:tcPr>
            <w:tcW w:w="1800" w:type="dxa"/>
          </w:tcPr>
          <w:p w:rsidR="00CA5535" w:rsidRDefault="00CA5535" w:rsidP="00CA553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CA5535" w:rsidRPr="001E1A6F" w:rsidRDefault="00CA5535" w:rsidP="00CA553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CA5535" w:rsidTr="000D78A3">
        <w:trPr>
          <w:jc w:val="center"/>
        </w:trPr>
        <w:tc>
          <w:tcPr>
            <w:tcW w:w="1728" w:type="dxa"/>
          </w:tcPr>
          <w:p w:rsidR="00CA5535" w:rsidRDefault="00CA5535" w:rsidP="00CA5535">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CA5535" w:rsidRPr="001C663C" w:rsidRDefault="009C3912" w:rsidP="00CA5535">
            <w:pPr>
              <w:pStyle w:val="ListParagraph"/>
              <w:numPr>
                <w:ilvl w:val="0"/>
                <w:numId w:val="7"/>
              </w:numPr>
              <w:spacing w:after="200" w:line="276" w:lineRule="auto"/>
              <w:ind w:left="229" w:hanging="196"/>
              <w:rPr>
                <w:rFonts w:ascii="Arial" w:hAnsi="Arial" w:cs="Arial"/>
                <w:kern w:val="28"/>
              </w:rPr>
            </w:pPr>
            <w:r w:rsidRPr="009C3912">
              <w:rPr>
                <w:rFonts w:ascii="Arial" w:hAnsi="Arial" w:cs="Arial"/>
                <w:kern w:val="28"/>
              </w:rPr>
              <w:t>Pharmacy Billing and Inventory Management</w:t>
            </w:r>
          </w:p>
        </w:tc>
        <w:tc>
          <w:tcPr>
            <w:tcW w:w="4680" w:type="dxa"/>
          </w:tcPr>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the purpose of point of sale billing.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the role of prior authorization in claims processing.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List the information found on a prescription card. </w:t>
            </w:r>
          </w:p>
          <w:p w:rsidR="00CA5535"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Determine the information needed to complete a patient profile for a pharmacy database. </w:t>
            </w:r>
          </w:p>
        </w:tc>
        <w:tc>
          <w:tcPr>
            <w:tcW w:w="1800" w:type="dxa"/>
          </w:tcPr>
          <w:p w:rsidR="00CA5535" w:rsidRDefault="00CA5535" w:rsidP="00CA553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CA5535" w:rsidRPr="001E1A6F" w:rsidRDefault="00CA5535" w:rsidP="00CA553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370451">
            <w:pPr>
              <w:pStyle w:val="04a1HeadTEACH"/>
              <w:ind w:left="409"/>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182D8D" w:rsidRDefault="00182D8D"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3B6D3B" w:rsidRDefault="009C3912" w:rsidP="003A7F56">
            <w:pPr>
              <w:pStyle w:val="ListParagraph"/>
              <w:numPr>
                <w:ilvl w:val="0"/>
                <w:numId w:val="12"/>
              </w:numPr>
              <w:ind w:left="229" w:hanging="180"/>
              <w:rPr>
                <w:rFonts w:ascii="Arial" w:hAnsi="Arial" w:cs="Arial"/>
                <w:kern w:val="28"/>
              </w:rPr>
            </w:pPr>
            <w:r w:rsidRPr="009C3912">
              <w:rPr>
                <w:rFonts w:ascii="Arial" w:hAnsi="Arial" w:cs="Arial"/>
                <w:kern w:val="28"/>
              </w:rPr>
              <w:t>Pharmacy Billing and Inventory Management</w:t>
            </w:r>
          </w:p>
        </w:tc>
        <w:tc>
          <w:tcPr>
            <w:tcW w:w="4680" w:type="dxa"/>
          </w:tcPr>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Discuss online adjudication.</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Identify the information needed to complete a universal claim form.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List and discuss reasons for claim rejections. </w:t>
            </w:r>
          </w:p>
          <w:p w:rsidR="00870843"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the process of resubmitting rejected claims. </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Borders>
              <w:bottom w:val="single" w:sz="4" w:space="0" w:color="auto"/>
            </w:tcBorders>
          </w:tcPr>
          <w:p w:rsidR="002D3575" w:rsidRPr="00870843" w:rsidRDefault="009C3912" w:rsidP="000C6205">
            <w:pPr>
              <w:pStyle w:val="04a1HeadTEACH"/>
              <w:numPr>
                <w:ilvl w:val="0"/>
                <w:numId w:val="12"/>
              </w:numPr>
              <w:ind w:left="210" w:hanging="191"/>
              <w:rPr>
                <w:rFonts w:cs="Arial"/>
                <w:b w:val="0"/>
                <w:kern w:val="28"/>
              </w:rPr>
            </w:pPr>
            <w:r w:rsidRPr="009C3912">
              <w:rPr>
                <w:rFonts w:cs="Arial"/>
                <w:b w:val="0"/>
                <w:kern w:val="28"/>
              </w:rPr>
              <w:t>Pharmacy Billing and Inventory Management</w:t>
            </w:r>
          </w:p>
        </w:tc>
        <w:tc>
          <w:tcPr>
            <w:tcW w:w="4680" w:type="dxa"/>
            <w:tcBorders>
              <w:bottom w:val="single" w:sz="4" w:space="0" w:color="auto"/>
            </w:tcBorders>
          </w:tcPr>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Discuss the types of plan limitations common in managed care.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Explain the various prescription payment methods, including self-pay, discount programs or coupons, private plans, and health savings accounts/flexible spending accounts.</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Explain the importance of inventory management. </w:t>
            </w:r>
          </w:p>
          <w:p w:rsidR="00956E62" w:rsidRPr="00870843"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Define the periodic automatic replenishment level and describe how it affects inventory management.</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Borders>
              <w:bottom w:val="single" w:sz="4" w:space="0" w:color="auto"/>
            </w:tcBorders>
          </w:tcPr>
          <w:p w:rsidR="00182D8D" w:rsidRPr="00870843" w:rsidRDefault="009C3912" w:rsidP="00220334">
            <w:pPr>
              <w:pStyle w:val="ListParagraph"/>
              <w:numPr>
                <w:ilvl w:val="0"/>
                <w:numId w:val="13"/>
              </w:numPr>
              <w:ind w:left="210" w:hanging="180"/>
              <w:rPr>
                <w:rFonts w:ascii="Arial" w:hAnsi="Arial" w:cs="Arial"/>
                <w:kern w:val="28"/>
              </w:rPr>
            </w:pPr>
            <w:r w:rsidRPr="009C3912">
              <w:rPr>
                <w:rFonts w:ascii="Arial" w:hAnsi="Arial" w:cs="Arial"/>
                <w:kern w:val="28"/>
              </w:rPr>
              <w:t>Pharmacy Billing and Inventory Management</w:t>
            </w:r>
          </w:p>
        </w:tc>
        <w:tc>
          <w:tcPr>
            <w:tcW w:w="4680" w:type="dxa"/>
            <w:tcBorders>
              <w:bottom w:val="single" w:sz="4" w:space="0" w:color="auto"/>
            </w:tcBorders>
          </w:tcPr>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the role of an inventory control technician.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Discuss the purpose of the National Drug Code (NDC) numbers, lot numbers, and expiration and beyond-use dates.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lastRenderedPageBreak/>
              <w:t xml:space="preserve">Explain the inventory ordering and receiving processes, including special orders, bar coding, manual ordering, and new stock. </w:t>
            </w:r>
          </w:p>
          <w:p w:rsidR="00845670"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List the types of automated dispensing systems used in pharmacy. </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487847" w:rsidTr="000D78A3">
        <w:trPr>
          <w:jc w:val="center"/>
        </w:trPr>
        <w:tc>
          <w:tcPr>
            <w:tcW w:w="1728" w:type="dxa"/>
            <w:tcBorders>
              <w:bottom w:val="single" w:sz="4" w:space="0" w:color="auto"/>
            </w:tcBorders>
          </w:tcPr>
          <w:p w:rsidR="00487847" w:rsidRDefault="0048784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single" w:sz="4" w:space="0" w:color="auto"/>
            </w:tcBorders>
          </w:tcPr>
          <w:p w:rsidR="000C6205" w:rsidRPr="00870843" w:rsidRDefault="009C3912" w:rsidP="00220334">
            <w:pPr>
              <w:pStyle w:val="ListParagraph"/>
              <w:numPr>
                <w:ilvl w:val="0"/>
                <w:numId w:val="13"/>
              </w:numPr>
              <w:ind w:left="210" w:hanging="180"/>
              <w:rPr>
                <w:rFonts w:ascii="Arial" w:hAnsi="Arial" w:cs="Arial"/>
                <w:kern w:val="28"/>
              </w:rPr>
            </w:pPr>
            <w:r w:rsidRPr="009C3912">
              <w:rPr>
                <w:rFonts w:ascii="Arial" w:hAnsi="Arial" w:cs="Arial"/>
                <w:kern w:val="28"/>
              </w:rPr>
              <w:t>Pharmacy Billing and Inventory Management</w:t>
            </w:r>
          </w:p>
        </w:tc>
        <w:tc>
          <w:tcPr>
            <w:tcW w:w="4680" w:type="dxa"/>
            <w:tcBorders>
              <w:bottom w:val="single" w:sz="4" w:space="0" w:color="auto"/>
            </w:tcBorders>
          </w:tcPr>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storage requirements for various types of inventory.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Outline the steps for handling recalled, returned, or expired medications.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List the types of suppliers of pharmacy stock. </w:t>
            </w:r>
          </w:p>
          <w:p w:rsidR="00845670"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Identify any special considerations related to drug ordering and storage.</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A64765"/>
    <w:p w:rsidR="0060698F" w:rsidRPr="0005269B" w:rsidRDefault="0060698F" w:rsidP="0060698F">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60698F" w:rsidRPr="0005269B" w:rsidRDefault="0060698F" w:rsidP="0060698F">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60698F" w:rsidRPr="0005269B" w:rsidTr="00B20487">
        <w:trPr>
          <w:trHeight w:val="332"/>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60698F" w:rsidRPr="0005269B" w:rsidTr="00B20487">
        <w:trPr>
          <w:trHeight w:val="304"/>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60698F" w:rsidRPr="0005269B" w:rsidRDefault="0060698F" w:rsidP="0060698F">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60698F" w:rsidRPr="0005269B" w:rsidRDefault="0060698F" w:rsidP="0060698F">
      <w:pPr>
        <w:spacing w:after="0" w:line="240" w:lineRule="auto"/>
        <w:jc w:val="center"/>
        <w:rPr>
          <w:rFonts w:ascii="Times New Roman" w:eastAsia="Times New Roman" w:hAnsi="Times New Roman" w:cs="Times New Roman"/>
          <w:i/>
          <w:color w:val="000000"/>
        </w:rPr>
      </w:pPr>
    </w:p>
    <w:p w:rsidR="0060698F" w:rsidRPr="0005269B" w:rsidRDefault="0060698F" w:rsidP="0060698F">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60698F" w:rsidRPr="0005269B" w:rsidRDefault="0060698F" w:rsidP="0060698F">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60698F" w:rsidRPr="0005269B" w:rsidRDefault="0060698F" w:rsidP="0060698F">
      <w:pPr>
        <w:spacing w:after="0" w:line="240" w:lineRule="auto"/>
        <w:rPr>
          <w:rFonts w:ascii="Times New Roman" w:eastAsia="Times New Roman" w:hAnsi="Times New Roman" w:cs="Times New Roman"/>
          <w:color w:val="000000"/>
        </w:rPr>
      </w:pPr>
    </w:p>
    <w:p w:rsidR="0060698F" w:rsidRPr="0005269B" w:rsidRDefault="0060698F" w:rsidP="0060698F">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w:t>
      </w:r>
      <w:r w:rsidRPr="0005269B">
        <w:rPr>
          <w:rFonts w:ascii="Times New Roman" w:eastAsia="Times New Roman" w:hAnsi="Times New Roman" w:cs="Times New Roman"/>
          <w:color w:val="000000"/>
        </w:rPr>
        <w:lastRenderedPageBreak/>
        <w:t xml:space="preserve">requirements state in this policy for guidance on this process. The Director of Financial Aid in coordination with the Office of Academic Affairs monitors qualitative progress. </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60698F" w:rsidRPr="0005269B" w:rsidRDefault="0060698F" w:rsidP="0060698F">
      <w:pPr>
        <w:rPr>
          <w:rFonts w:ascii="Times New Roman" w:eastAsia="Calibri" w:hAnsi="Times New Roman" w:cs="Times New Roman"/>
          <w:b/>
          <w:sz w:val="24"/>
          <w:szCs w:val="24"/>
          <w:u w:val="single"/>
        </w:rPr>
      </w:pPr>
    </w:p>
    <w:p w:rsidR="0060698F" w:rsidRPr="0005269B" w:rsidRDefault="0060698F" w:rsidP="0060698F">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bookmarkStart w:id="0" w:name="_GoBack"/>
      <w:bookmarkEnd w:id="0"/>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w:t>
      </w:r>
      <w:r w:rsidRPr="0005269B">
        <w:rPr>
          <w:rFonts w:ascii="Times New Roman" w:eastAsia="Times New Roman" w:hAnsi="Times New Roman" w:cs="Times New Roman"/>
          <w:sz w:val="23"/>
          <w:szCs w:val="23"/>
        </w:rPr>
        <w:lastRenderedPageBreak/>
        <w:t xml:space="preserve">Students will be notified by phone, text or e-mail if their attendance is danger of violating attendance requirements.   </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60698F" w:rsidRPr="0005269B" w:rsidRDefault="0060698F" w:rsidP="0060698F">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p>
    <w:p w:rsidR="0060698F" w:rsidRPr="0005269B" w:rsidRDefault="0060698F" w:rsidP="0060698F">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60698F" w:rsidRPr="0005269B" w:rsidRDefault="0060698F" w:rsidP="0060698F">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enrolled in clock hour programs will be required to attend make up classes for any missed clock hours scheduled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60698F" w:rsidRPr="0005269B" w:rsidRDefault="0060698F" w:rsidP="0060698F">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60698F" w:rsidRPr="0005269B" w:rsidRDefault="0060698F" w:rsidP="0060698F">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60698F" w:rsidRPr="0005269B" w:rsidRDefault="0060698F" w:rsidP="0060698F">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rPr>
      </w:pPr>
    </w:p>
    <w:p w:rsidR="0060698F" w:rsidRPr="0005269B" w:rsidRDefault="0060698F" w:rsidP="0060698F">
      <w:pPr>
        <w:numPr>
          <w:ilvl w:val="0"/>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60698F" w:rsidRPr="0005269B" w:rsidRDefault="0060698F" w:rsidP="0060698F">
      <w:pPr>
        <w:numPr>
          <w:ilvl w:val="0"/>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60698F" w:rsidRPr="0005269B" w:rsidRDefault="0060698F" w:rsidP="0060698F">
      <w:pPr>
        <w:numPr>
          <w:ilvl w:val="0"/>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 xml:space="preserve">Students must comply with number 2 above. If the facility requires the student to wear a scrub uniform, it must be school’s uniform. The student is </w:t>
      </w:r>
      <w:r w:rsidRPr="0005269B">
        <w:rPr>
          <w:rFonts w:ascii="Times New Roman" w:eastAsia="Calibri" w:hAnsi="Times New Roman" w:cs="Times New Roman"/>
          <w:sz w:val="24"/>
        </w:rPr>
        <w:lastRenderedPageBreak/>
        <w:t>responsible for purchasing the correct scrub uniform. The student must wear their Student ID batch at all times.</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bCs/>
        </w:rPr>
      </w:pP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rPr>
      </w:pPr>
    </w:p>
    <w:p w:rsidR="00A64765" w:rsidRPr="0060698F" w:rsidRDefault="0060698F" w:rsidP="0060698F">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A64765" w:rsidRPr="006069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7D4" w:rsidRDefault="00F817D4" w:rsidP="00967903">
      <w:pPr>
        <w:spacing w:after="0" w:line="240" w:lineRule="auto"/>
      </w:pPr>
      <w:r>
        <w:separator/>
      </w:r>
    </w:p>
  </w:endnote>
  <w:endnote w:type="continuationSeparator" w:id="0">
    <w:p w:rsidR="00F817D4" w:rsidRDefault="00F817D4"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7D4" w:rsidRPr="004977CD" w:rsidRDefault="00F817D4"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60698F">
      <w:rPr>
        <w:rFonts w:ascii="Times New Roman" w:hAnsi="Times New Roman" w:cs="Times New Roman"/>
        <w:noProof/>
      </w:rPr>
      <w:t>6</w:t>
    </w:r>
    <w:r w:rsidRPr="004977CD">
      <w:rPr>
        <w:rFonts w:ascii="Times New Roman" w:hAnsi="Times New Roman" w:cs="Times New Roman"/>
        <w:noProof/>
      </w:rPr>
      <w:fldChar w:fldCharType="end"/>
    </w:r>
  </w:p>
  <w:p w:rsidR="00F817D4" w:rsidRPr="004977CD" w:rsidRDefault="00F817D4" w:rsidP="00967903">
    <w:pPr>
      <w:pStyle w:val="Footer"/>
      <w:jc w:val="right"/>
      <w:rPr>
        <w:rFonts w:ascii="Times New Roman" w:hAnsi="Times New Roman" w:cs="Times New Roman"/>
        <w:sz w:val="20"/>
      </w:rPr>
    </w:pPr>
    <w:r>
      <w:rPr>
        <w:rFonts w:ascii="Times New Roman" w:hAnsi="Times New Roman" w:cs="Times New Roman"/>
        <w:sz w:val="20"/>
      </w:rPr>
      <w:t>Revised 11-25</w:t>
    </w:r>
    <w:r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7D4" w:rsidRDefault="00F817D4" w:rsidP="00967903">
      <w:pPr>
        <w:spacing w:after="0" w:line="240" w:lineRule="auto"/>
      </w:pPr>
      <w:r>
        <w:separator/>
      </w:r>
    </w:p>
  </w:footnote>
  <w:footnote w:type="continuationSeparator" w:id="0">
    <w:p w:rsidR="00F817D4" w:rsidRDefault="00F817D4"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7D4" w:rsidRPr="00967903" w:rsidRDefault="0060698F" w:rsidP="00967903">
    <w:pPr>
      <w:pStyle w:val="Header"/>
      <w:jc w:val="right"/>
      <w:rPr>
        <w:rFonts w:ascii="Times New Roman" w:hAnsi="Times New Roman" w:cs="Times New Roman"/>
      </w:rPr>
    </w:pPr>
    <w:r>
      <w:rPr>
        <w:rFonts w:ascii="Times New Roman" w:hAnsi="Times New Roman" w:cs="Times New Roman"/>
      </w:rPr>
      <w:t>Syllabus/</w:t>
    </w:r>
    <w:r w:rsidR="00F817D4"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0446CC6"/>
    <w:multiLevelType w:val="multilevel"/>
    <w:tmpl w:val="7E6460C2"/>
    <w:styleLink w:val="TEACHChapterObjectives"/>
    <w:lvl w:ilvl="0">
      <w:start w:val="1"/>
      <w:numFmt w:val="decimal"/>
      <w:lvlText w:val="%1."/>
      <w:lvlJc w:val="left"/>
      <w:pPr>
        <w:ind w:left="360" w:hanging="331"/>
      </w:pPr>
      <w:rPr>
        <w:rFonts w:ascii="Impact" w:hAnsi="Impact"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515B2E"/>
    <w:multiLevelType w:val="hybridMultilevel"/>
    <w:tmpl w:val="607CF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F4A"/>
    <w:multiLevelType w:val="hybridMultilevel"/>
    <w:tmpl w:val="92F2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0F7E16"/>
    <w:multiLevelType w:val="hybridMultilevel"/>
    <w:tmpl w:val="A792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5"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15"/>
  </w:num>
  <w:num w:numId="4">
    <w:abstractNumId w:val="7"/>
  </w:num>
  <w:num w:numId="5">
    <w:abstractNumId w:val="2"/>
  </w:num>
  <w:num w:numId="6">
    <w:abstractNumId w:val="21"/>
  </w:num>
  <w:num w:numId="7">
    <w:abstractNumId w:val="9"/>
  </w:num>
  <w:num w:numId="8">
    <w:abstractNumId w:val="25"/>
  </w:num>
  <w:num w:numId="9">
    <w:abstractNumId w:val="6"/>
  </w:num>
  <w:num w:numId="10">
    <w:abstractNumId w:val="17"/>
  </w:num>
  <w:num w:numId="11">
    <w:abstractNumId w:val="19"/>
  </w:num>
  <w:num w:numId="12">
    <w:abstractNumId w:val="18"/>
  </w:num>
  <w:num w:numId="13">
    <w:abstractNumId w:val="3"/>
  </w:num>
  <w:num w:numId="14">
    <w:abstractNumId w:val="11"/>
  </w:num>
  <w:num w:numId="15">
    <w:abstractNumId w:val="24"/>
  </w:num>
  <w:num w:numId="16">
    <w:abstractNumId w:val="10"/>
  </w:num>
  <w:num w:numId="17">
    <w:abstractNumId w:val="1"/>
  </w:num>
  <w:num w:numId="18">
    <w:abstractNumId w:val="0"/>
  </w:num>
  <w:num w:numId="19">
    <w:abstractNumId w:val="13"/>
  </w:num>
  <w:num w:numId="20">
    <w:abstractNumId w:val="14"/>
  </w:num>
  <w:num w:numId="21">
    <w:abstractNumId w:val="4"/>
  </w:num>
  <w:num w:numId="22">
    <w:abstractNumId w:val="23"/>
  </w:num>
  <w:num w:numId="23">
    <w:abstractNumId w:val="8"/>
  </w:num>
  <w:num w:numId="24">
    <w:abstractNumId w:val="16"/>
  </w:num>
  <w:num w:numId="25">
    <w:abstractNumId w:val="5"/>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30A88"/>
    <w:rsid w:val="00031F46"/>
    <w:rsid w:val="00034F65"/>
    <w:rsid w:val="00041021"/>
    <w:rsid w:val="0005149F"/>
    <w:rsid w:val="000646A7"/>
    <w:rsid w:val="00070159"/>
    <w:rsid w:val="00083027"/>
    <w:rsid w:val="000912E2"/>
    <w:rsid w:val="000B4C15"/>
    <w:rsid w:val="000C173C"/>
    <w:rsid w:val="000C4C76"/>
    <w:rsid w:val="000C6205"/>
    <w:rsid w:val="000C7F23"/>
    <w:rsid w:val="000D78A3"/>
    <w:rsid w:val="000D7D8E"/>
    <w:rsid w:val="000F4A85"/>
    <w:rsid w:val="000F607E"/>
    <w:rsid w:val="00110102"/>
    <w:rsid w:val="00135186"/>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20334"/>
    <w:rsid w:val="002239AD"/>
    <w:rsid w:val="0026652E"/>
    <w:rsid w:val="00273432"/>
    <w:rsid w:val="00277CB6"/>
    <w:rsid w:val="00282F30"/>
    <w:rsid w:val="00285017"/>
    <w:rsid w:val="002876D9"/>
    <w:rsid w:val="002D3575"/>
    <w:rsid w:val="002E5105"/>
    <w:rsid w:val="002E677B"/>
    <w:rsid w:val="002F27C5"/>
    <w:rsid w:val="002F6AF0"/>
    <w:rsid w:val="003046EF"/>
    <w:rsid w:val="00313268"/>
    <w:rsid w:val="00342AD1"/>
    <w:rsid w:val="00350BA9"/>
    <w:rsid w:val="00354B97"/>
    <w:rsid w:val="00360F98"/>
    <w:rsid w:val="003633B6"/>
    <w:rsid w:val="00363FF4"/>
    <w:rsid w:val="00370451"/>
    <w:rsid w:val="00390248"/>
    <w:rsid w:val="00390B09"/>
    <w:rsid w:val="003A7F56"/>
    <w:rsid w:val="003B6D3B"/>
    <w:rsid w:val="003D7240"/>
    <w:rsid w:val="003E6E7F"/>
    <w:rsid w:val="0040335E"/>
    <w:rsid w:val="00404889"/>
    <w:rsid w:val="004127BF"/>
    <w:rsid w:val="00415D0F"/>
    <w:rsid w:val="0043062E"/>
    <w:rsid w:val="00430F80"/>
    <w:rsid w:val="004408B5"/>
    <w:rsid w:val="004447A1"/>
    <w:rsid w:val="004620BA"/>
    <w:rsid w:val="004729E7"/>
    <w:rsid w:val="00487847"/>
    <w:rsid w:val="004977CD"/>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0698F"/>
    <w:rsid w:val="006110F7"/>
    <w:rsid w:val="00624A50"/>
    <w:rsid w:val="00644B03"/>
    <w:rsid w:val="006616A7"/>
    <w:rsid w:val="006647A0"/>
    <w:rsid w:val="00691C3D"/>
    <w:rsid w:val="00695649"/>
    <w:rsid w:val="006965F5"/>
    <w:rsid w:val="006A2A66"/>
    <w:rsid w:val="006C1ED7"/>
    <w:rsid w:val="006C6CD8"/>
    <w:rsid w:val="006D56A3"/>
    <w:rsid w:val="00706453"/>
    <w:rsid w:val="00725DD9"/>
    <w:rsid w:val="00727E01"/>
    <w:rsid w:val="007B676E"/>
    <w:rsid w:val="007E6BD7"/>
    <w:rsid w:val="00827F12"/>
    <w:rsid w:val="008309B0"/>
    <w:rsid w:val="00845670"/>
    <w:rsid w:val="0084734E"/>
    <w:rsid w:val="00852C10"/>
    <w:rsid w:val="00867EC7"/>
    <w:rsid w:val="00870843"/>
    <w:rsid w:val="008B334D"/>
    <w:rsid w:val="008B53A2"/>
    <w:rsid w:val="008B6E1C"/>
    <w:rsid w:val="008C3925"/>
    <w:rsid w:val="008D5C0E"/>
    <w:rsid w:val="008F2016"/>
    <w:rsid w:val="008F3B6E"/>
    <w:rsid w:val="0091655D"/>
    <w:rsid w:val="00923D6F"/>
    <w:rsid w:val="00956E62"/>
    <w:rsid w:val="00967903"/>
    <w:rsid w:val="00974624"/>
    <w:rsid w:val="00975AC2"/>
    <w:rsid w:val="0099305C"/>
    <w:rsid w:val="009A2E3C"/>
    <w:rsid w:val="009C3912"/>
    <w:rsid w:val="009D19CA"/>
    <w:rsid w:val="009F5F27"/>
    <w:rsid w:val="00A03308"/>
    <w:rsid w:val="00A04FD2"/>
    <w:rsid w:val="00A33FCF"/>
    <w:rsid w:val="00A4483B"/>
    <w:rsid w:val="00A46FA9"/>
    <w:rsid w:val="00A509A3"/>
    <w:rsid w:val="00A64765"/>
    <w:rsid w:val="00A82D45"/>
    <w:rsid w:val="00A87203"/>
    <w:rsid w:val="00AB45BE"/>
    <w:rsid w:val="00AC29C6"/>
    <w:rsid w:val="00B030F5"/>
    <w:rsid w:val="00B63277"/>
    <w:rsid w:val="00B6495A"/>
    <w:rsid w:val="00B72CD9"/>
    <w:rsid w:val="00B931B4"/>
    <w:rsid w:val="00BA6AB8"/>
    <w:rsid w:val="00BA7919"/>
    <w:rsid w:val="00BC40F1"/>
    <w:rsid w:val="00C40728"/>
    <w:rsid w:val="00C73BE2"/>
    <w:rsid w:val="00C75068"/>
    <w:rsid w:val="00C860DD"/>
    <w:rsid w:val="00C97AF7"/>
    <w:rsid w:val="00CA22EA"/>
    <w:rsid w:val="00CA5535"/>
    <w:rsid w:val="00CB28D3"/>
    <w:rsid w:val="00CB3483"/>
    <w:rsid w:val="00CB55B6"/>
    <w:rsid w:val="00CD4ADA"/>
    <w:rsid w:val="00CF501A"/>
    <w:rsid w:val="00D4347C"/>
    <w:rsid w:val="00D45A9E"/>
    <w:rsid w:val="00D741D2"/>
    <w:rsid w:val="00D93CDA"/>
    <w:rsid w:val="00DA0477"/>
    <w:rsid w:val="00DA3C51"/>
    <w:rsid w:val="00DA5803"/>
    <w:rsid w:val="00DE4E10"/>
    <w:rsid w:val="00E2761B"/>
    <w:rsid w:val="00E67C17"/>
    <w:rsid w:val="00E826FB"/>
    <w:rsid w:val="00EB1231"/>
    <w:rsid w:val="00EB26D5"/>
    <w:rsid w:val="00EF01A8"/>
    <w:rsid w:val="00F01D63"/>
    <w:rsid w:val="00F028D0"/>
    <w:rsid w:val="00F04031"/>
    <w:rsid w:val="00F07B79"/>
    <w:rsid w:val="00F10E07"/>
    <w:rsid w:val="00F23CD4"/>
    <w:rsid w:val="00F30F26"/>
    <w:rsid w:val="00F3794F"/>
    <w:rsid w:val="00F40D24"/>
    <w:rsid w:val="00F57FC5"/>
    <w:rsid w:val="00F75B98"/>
    <w:rsid w:val="00F760E9"/>
    <w:rsid w:val="00F817D4"/>
    <w:rsid w:val="00F81AAF"/>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E399E47"/>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numbering" w:customStyle="1" w:styleId="TEACHChapterObjectives">
    <w:name w:val="TEACHChapterObjectives"/>
    <w:basedOn w:val="NoList"/>
    <w:uiPriority w:val="99"/>
    <w:rsid w:val="00F81AA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5548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A3055-336D-4F03-B418-43ACE775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11</cp:revision>
  <cp:lastPrinted>2016-02-18T20:56:00Z</cp:lastPrinted>
  <dcterms:created xsi:type="dcterms:W3CDTF">2015-12-28T17:31:00Z</dcterms:created>
  <dcterms:modified xsi:type="dcterms:W3CDTF">2016-03-04T21:36:00Z</dcterms:modified>
</cp:coreProperties>
</file>