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7E6D44"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B46C76">
              <w:rPr>
                <w:rFonts w:ascii="Times New Roman" w:eastAsia="Calibri" w:hAnsi="Times New Roman" w:cs="Times New Roman"/>
                <w:b/>
                <w:bCs/>
                <w:kern w:val="28"/>
                <w:sz w:val="24"/>
                <w:szCs w:val="24"/>
              </w:rPr>
              <w:t xml:space="preserve"> weeks / 4</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B46C76">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D77CA4">
        <w:trPr>
          <w:jc w:val="center"/>
        </w:trPr>
        <w:tc>
          <w:tcPr>
            <w:tcW w:w="1723" w:type="dxa"/>
            <w:tcBorders>
              <w:top w:val="nil"/>
              <w:left w:val="nil"/>
              <w:bottom w:val="single" w:sz="12" w:space="0" w:color="auto"/>
              <w:right w:val="nil"/>
            </w:tcBorders>
          </w:tcPr>
          <w:p w:rsidR="00C40728" w:rsidRPr="00A04FD2" w:rsidRDefault="008B6E1C" w:rsidP="00974624">
            <w:pPr>
              <w:rPr>
                <w:rFonts w:ascii="Times New Roman" w:hAnsi="Times New Roman" w:cs="Times New Roman"/>
                <w:b/>
                <w:sz w:val="24"/>
                <w:szCs w:val="24"/>
              </w:rPr>
            </w:pPr>
            <w:r>
              <w:rPr>
                <w:rFonts w:ascii="Times New Roman" w:hAnsi="Times New Roman" w:cs="Times New Roman"/>
                <w:b/>
                <w:sz w:val="24"/>
                <w:szCs w:val="24"/>
              </w:rPr>
              <w:t>PH</w:t>
            </w:r>
            <w:r w:rsidR="00117F6D">
              <w:rPr>
                <w:rFonts w:ascii="Times New Roman" w:hAnsi="Times New Roman" w:cs="Times New Roman"/>
                <w:b/>
                <w:sz w:val="24"/>
                <w:szCs w:val="24"/>
              </w:rPr>
              <w:t>T140</w:t>
            </w:r>
          </w:p>
        </w:tc>
        <w:tc>
          <w:tcPr>
            <w:tcW w:w="5791" w:type="dxa"/>
            <w:gridSpan w:val="3"/>
            <w:tcBorders>
              <w:top w:val="nil"/>
              <w:left w:val="nil"/>
              <w:bottom w:val="single" w:sz="12" w:space="0" w:color="auto"/>
              <w:right w:val="nil"/>
            </w:tcBorders>
          </w:tcPr>
          <w:p w:rsidR="00C40728" w:rsidRPr="00A04FD2" w:rsidRDefault="00063DA1" w:rsidP="00063DA1">
            <w:pPr>
              <w:rPr>
                <w:rFonts w:ascii="Times New Roman" w:hAnsi="Times New Roman" w:cs="Times New Roman"/>
                <w:sz w:val="24"/>
                <w:szCs w:val="24"/>
              </w:rPr>
            </w:pPr>
            <w:r w:rsidRPr="00063DA1">
              <w:rPr>
                <w:rFonts w:ascii="Times New Roman" w:eastAsia="Times New Roman" w:hAnsi="Times New Roman" w:cs="Times New Roman"/>
                <w:b/>
                <w:bCs/>
                <w:sz w:val="24"/>
                <w:szCs w:val="24"/>
              </w:rPr>
              <w:t xml:space="preserve">PTCB </w:t>
            </w:r>
            <w:r>
              <w:rPr>
                <w:rFonts w:ascii="Times New Roman" w:eastAsia="Times New Roman" w:hAnsi="Times New Roman" w:cs="Times New Roman"/>
                <w:b/>
                <w:bCs/>
                <w:sz w:val="24"/>
                <w:szCs w:val="24"/>
              </w:rPr>
              <w:t>Certification Preparation</w:t>
            </w:r>
          </w:p>
        </w:tc>
        <w:tc>
          <w:tcPr>
            <w:tcW w:w="930" w:type="dxa"/>
            <w:tcBorders>
              <w:top w:val="nil"/>
              <w:left w:val="nil"/>
              <w:bottom w:val="single" w:sz="12" w:space="0" w:color="auto"/>
              <w:right w:val="nil"/>
            </w:tcBorders>
          </w:tcPr>
          <w:p w:rsidR="00C40728" w:rsidRPr="00A04FD2" w:rsidRDefault="00B46C76"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single" w:sz="12" w:space="0" w:color="auto"/>
              <w:right w:val="nil"/>
            </w:tcBorders>
          </w:tcPr>
          <w:p w:rsidR="00C40728" w:rsidRPr="00A04FD2" w:rsidRDefault="00B46C76" w:rsidP="00C40728">
            <w:pPr>
              <w:jc w:val="center"/>
              <w:rPr>
                <w:rFonts w:ascii="Times New Roman" w:hAnsi="Times New Roman" w:cs="Times New Roman"/>
                <w:sz w:val="24"/>
                <w:szCs w:val="24"/>
              </w:rPr>
            </w:pPr>
            <w:r>
              <w:rPr>
                <w:rFonts w:ascii="Times New Roman" w:hAnsi="Times New Roman" w:cs="Times New Roman"/>
                <w:sz w:val="24"/>
                <w:szCs w:val="24"/>
              </w:rPr>
              <w:t>4</w:t>
            </w:r>
            <w:r w:rsidR="006D2457">
              <w:rPr>
                <w:rFonts w:ascii="Times New Roman" w:hAnsi="Times New Roman" w:cs="Times New Roman"/>
                <w:sz w:val="24"/>
                <w:szCs w:val="24"/>
              </w:rPr>
              <w:t>0</w:t>
            </w:r>
          </w:p>
        </w:tc>
      </w:tr>
      <w:tr w:rsidR="00F23CD4" w:rsidTr="00D77CA4">
        <w:trPr>
          <w:jc w:val="center"/>
        </w:trPr>
        <w:tc>
          <w:tcPr>
            <w:tcW w:w="9360" w:type="dxa"/>
            <w:gridSpan w:val="6"/>
            <w:tcBorders>
              <w:top w:val="single" w:sz="12" w:space="0" w:color="auto"/>
              <w:left w:val="nil"/>
              <w:bottom w:val="nil"/>
              <w:right w:val="nil"/>
            </w:tcBorders>
          </w:tcPr>
          <w:p w:rsidR="00F23CD4" w:rsidRDefault="00F23CD4" w:rsidP="006D245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117F6D" w:rsidRPr="00117F6D">
              <w:rPr>
                <w:rFonts w:ascii="Times New Roman" w:eastAsia="Times New Roman" w:hAnsi="Times New Roman" w:cs="Times New Roman"/>
                <w:sz w:val="24"/>
                <w:szCs w:val="24"/>
              </w:rPr>
              <w:t>This course is design to prepare the student to take and assure a better passing rate of the Pharmacy Technician Certification Board (PTCB) exam which is the most recognize certification among employers. The course outline will follow the official PTCB blue print to ensure that every major topic will be covered and discussed during the total length of the course. Official PTCB blue print will be at</w:t>
            </w:r>
            <w:r w:rsidR="006D2457">
              <w:rPr>
                <w:rFonts w:ascii="Times New Roman" w:eastAsia="Times New Roman" w:hAnsi="Times New Roman" w:cs="Times New Roman"/>
                <w:sz w:val="24"/>
                <w:szCs w:val="24"/>
              </w:rPr>
              <w:t>tached with this description.</w:t>
            </w:r>
          </w:p>
          <w:p w:rsidR="007E6D44" w:rsidRDefault="007E6D44" w:rsidP="006D2457">
            <w:pPr>
              <w:jc w:val="both"/>
              <w:rPr>
                <w:rFonts w:ascii="Times New Roman" w:eastAsia="Times New Roman" w:hAnsi="Times New Roman" w:cs="Times New Roman"/>
                <w:sz w:val="24"/>
                <w:szCs w:val="24"/>
              </w:rPr>
            </w:pPr>
          </w:p>
          <w:p w:rsidR="0077397E" w:rsidRPr="009034BA" w:rsidRDefault="0077397E" w:rsidP="0077397E">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77397E" w:rsidRPr="00243471" w:rsidRDefault="0077397E" w:rsidP="0077397E">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77397E" w:rsidRPr="0077397E" w:rsidRDefault="0077397E" w:rsidP="0077397E">
            <w:pPr>
              <w:rPr>
                <w:rFonts w:ascii="Times New Roman" w:hAnsi="Times New Roman" w:cs="Times New Roman"/>
                <w:bCs/>
                <w:sz w:val="24"/>
              </w:rPr>
            </w:pPr>
            <w:r w:rsidRPr="001B7AB4">
              <w:rPr>
                <w:rFonts w:ascii="Times New Roman" w:hAnsi="Times New Roman" w:cs="Times New Roman"/>
                <w:b/>
                <w:sz w:val="24"/>
                <w:szCs w:val="24"/>
              </w:rPr>
              <w:t>Text Books:</w:t>
            </w:r>
            <w:r>
              <w:t xml:space="preserve"> </w:t>
            </w:r>
            <w:r w:rsidRPr="0077397E">
              <w:rPr>
                <w:rFonts w:ascii="Times New Roman" w:hAnsi="Times New Roman" w:cs="Times New Roman"/>
                <w:bCs/>
                <w:sz w:val="24"/>
              </w:rPr>
              <w:t xml:space="preserve">Mosby's Review for the Pharmacy Technician </w:t>
            </w:r>
            <w:r>
              <w:rPr>
                <w:rFonts w:ascii="Times New Roman" w:hAnsi="Times New Roman" w:cs="Times New Roman"/>
                <w:bCs/>
                <w:sz w:val="24"/>
              </w:rPr>
              <w:t>Certification Examination, 3</w:t>
            </w:r>
            <w:r w:rsidRPr="0077397E">
              <w:rPr>
                <w:rFonts w:ascii="Times New Roman" w:hAnsi="Times New Roman" w:cs="Times New Roman"/>
                <w:bCs/>
                <w:sz w:val="24"/>
                <w:vertAlign w:val="superscript"/>
              </w:rPr>
              <w:t>rd</w:t>
            </w:r>
            <w:r>
              <w:rPr>
                <w:rFonts w:ascii="Times New Roman" w:hAnsi="Times New Roman" w:cs="Times New Roman"/>
                <w:bCs/>
                <w:sz w:val="24"/>
              </w:rPr>
              <w:t xml:space="preserve"> e. Elsevier</w:t>
            </w:r>
          </w:p>
          <w:p w:rsidR="0077397E" w:rsidRDefault="0077397E" w:rsidP="0077397E">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77397E" w:rsidRPr="00BB000A" w:rsidRDefault="0077397E" w:rsidP="0077397E">
            <w:pPr>
              <w:jc w:val="both"/>
              <w:rPr>
                <w:rFonts w:ascii="Times New Roman" w:hAnsi="Times New Roman" w:cs="Times New Roman"/>
                <w:b/>
                <w:sz w:val="24"/>
                <w:szCs w:val="24"/>
              </w:rPr>
            </w:pPr>
          </w:p>
          <w:p w:rsidR="0077397E" w:rsidRPr="001B7AB4" w:rsidRDefault="0077397E" w:rsidP="0077397E">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77397E" w:rsidRPr="001B7AB4" w:rsidRDefault="0077397E" w:rsidP="0077397E">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77397E" w:rsidRDefault="0077397E" w:rsidP="0077397E">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77397E" w:rsidRDefault="0077397E" w:rsidP="0077397E">
            <w:pPr>
              <w:jc w:val="both"/>
              <w:rPr>
                <w:rFonts w:ascii="Times New Roman" w:hAnsi="Times New Roman" w:cs="Times New Roman"/>
                <w:sz w:val="24"/>
                <w:szCs w:val="24"/>
              </w:rPr>
            </w:pPr>
            <w:r>
              <w:rPr>
                <w:rFonts w:ascii="Times New Roman" w:hAnsi="Times New Roman" w:cs="Times New Roman"/>
                <w:sz w:val="24"/>
                <w:szCs w:val="24"/>
              </w:rPr>
              <w:t>Research</w:t>
            </w:r>
          </w:p>
          <w:p w:rsidR="0077397E" w:rsidRPr="001B7AB4" w:rsidRDefault="0077397E" w:rsidP="0077397E">
            <w:pPr>
              <w:jc w:val="both"/>
              <w:rPr>
                <w:rFonts w:ascii="Times New Roman" w:hAnsi="Times New Roman" w:cs="Times New Roman"/>
                <w:sz w:val="24"/>
                <w:szCs w:val="24"/>
              </w:rPr>
            </w:pPr>
          </w:p>
          <w:p w:rsidR="0077397E" w:rsidRPr="001B7AB4" w:rsidRDefault="0077397E" w:rsidP="0077397E">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77397E" w:rsidRDefault="0077397E" w:rsidP="0077397E">
            <w:pPr>
              <w:jc w:val="both"/>
              <w:rPr>
                <w:rFonts w:ascii="Times New Roman" w:hAnsi="Times New Roman" w:cs="Times New Roman"/>
                <w:sz w:val="24"/>
                <w:szCs w:val="24"/>
              </w:rPr>
            </w:pPr>
            <w:r>
              <w:rPr>
                <w:rFonts w:ascii="Times New Roman" w:hAnsi="Times New Roman" w:cs="Times New Roman"/>
                <w:sz w:val="24"/>
                <w:szCs w:val="24"/>
              </w:rPr>
              <w:t>Residential</w:t>
            </w:r>
          </w:p>
          <w:p w:rsidR="0077397E" w:rsidRPr="001B7AB4" w:rsidRDefault="0077397E" w:rsidP="0077397E">
            <w:pPr>
              <w:jc w:val="both"/>
              <w:rPr>
                <w:rFonts w:ascii="Times New Roman" w:hAnsi="Times New Roman" w:cs="Times New Roman"/>
                <w:sz w:val="24"/>
                <w:szCs w:val="24"/>
              </w:rPr>
            </w:pPr>
          </w:p>
          <w:p w:rsidR="0077397E" w:rsidRPr="001B7AB4" w:rsidRDefault="0077397E" w:rsidP="0077397E">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77397E" w:rsidRPr="001B7AB4" w:rsidRDefault="0077397E" w:rsidP="0077397E">
            <w:pPr>
              <w:jc w:val="both"/>
              <w:rPr>
                <w:rFonts w:ascii="Times New Roman" w:hAnsi="Times New Roman" w:cs="Times New Roman"/>
                <w:sz w:val="24"/>
                <w:szCs w:val="24"/>
              </w:rPr>
            </w:pPr>
            <w:r w:rsidRPr="001B7AB4">
              <w:rPr>
                <w:rFonts w:ascii="Times New Roman" w:hAnsi="Times New Roman" w:cs="Times New Roman"/>
                <w:sz w:val="24"/>
                <w:szCs w:val="24"/>
              </w:rPr>
              <w:t>Utilization of power point presentations, media center websites, reference materials, and</w:t>
            </w:r>
            <w:r>
              <w:rPr>
                <w:rFonts w:ascii="Times New Roman" w:hAnsi="Times New Roman" w:cs="Times New Roman"/>
                <w:sz w:val="24"/>
                <w:szCs w:val="24"/>
              </w:rPr>
              <w:t xml:space="preserve"> other technology as available</w:t>
            </w:r>
            <w:r w:rsidRPr="001B7AB4">
              <w:rPr>
                <w:rFonts w:ascii="Times New Roman" w:hAnsi="Times New Roman" w:cs="Times New Roman"/>
                <w:sz w:val="24"/>
                <w:szCs w:val="24"/>
              </w:rPr>
              <w:t xml:space="preserve">  </w:t>
            </w:r>
          </w:p>
          <w:p w:rsidR="00D77CA4" w:rsidRDefault="00D77CA4" w:rsidP="006D2457">
            <w:pPr>
              <w:jc w:val="both"/>
              <w:rPr>
                <w:rFonts w:ascii="Times New Roman" w:eastAsia="Times New Roman" w:hAnsi="Times New Roman" w:cs="Times New Roman"/>
                <w:sz w:val="24"/>
                <w:szCs w:val="24"/>
              </w:rPr>
            </w:pPr>
          </w:p>
          <w:p w:rsidR="00D77CA4" w:rsidRDefault="00D77CA4" w:rsidP="006D245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D77CA4" w:rsidRDefault="00D77CA4" w:rsidP="006D24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course, the student will:</w:t>
            </w:r>
          </w:p>
          <w:p w:rsidR="00D77CA4" w:rsidRDefault="00D77CA4" w:rsidP="00D77CA4">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underlying test making goals supporting different types of test</w:t>
            </w:r>
          </w:p>
          <w:p w:rsidR="00D77CA4" w:rsidRDefault="00D77CA4" w:rsidP="00D77CA4">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implement test taking skills for multiple choice questions, short answer, and essay test questions</w:t>
            </w:r>
          </w:p>
          <w:p w:rsidR="00D943EA" w:rsidRPr="00D943EA" w:rsidRDefault="00D77CA4" w:rsidP="00D943EA">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prepared to sit for the pharmacy technician certification board exam  </w:t>
            </w:r>
          </w:p>
        </w:tc>
      </w:tr>
    </w:tbl>
    <w:p w:rsidR="00D943EA" w:rsidRDefault="00D943EA"/>
    <w:p w:rsidR="00D943EA" w:rsidRDefault="00D943EA">
      <w:r>
        <w:br w:type="page"/>
      </w:r>
    </w:p>
    <w:p w:rsidR="00D943EA" w:rsidRDefault="00D943EA">
      <w:bookmarkStart w:id="0" w:name="_GoBack"/>
      <w:bookmarkEnd w:id="0"/>
    </w:p>
    <w:tbl>
      <w:tblPr>
        <w:tblStyle w:val="TableGrid"/>
        <w:tblW w:w="0" w:type="auto"/>
        <w:jc w:val="center"/>
        <w:tblLook w:val="04A0" w:firstRow="1" w:lastRow="0" w:firstColumn="1" w:lastColumn="0" w:noHBand="0" w:noVBand="1"/>
      </w:tblPr>
      <w:tblGrid>
        <w:gridCol w:w="1723"/>
        <w:gridCol w:w="2401"/>
        <w:gridCol w:w="1695"/>
        <w:gridCol w:w="1695"/>
        <w:gridCol w:w="1846"/>
      </w:tblGrid>
      <w:tr w:rsidR="00F23CD4" w:rsidTr="00D77CA4">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1927CF" w:rsidTr="000D78A3">
        <w:trPr>
          <w:jc w:val="center"/>
        </w:trPr>
        <w:tc>
          <w:tcPr>
            <w:tcW w:w="1728" w:type="dxa"/>
          </w:tcPr>
          <w:p w:rsidR="001927CF" w:rsidRPr="00707314" w:rsidRDefault="001927CF" w:rsidP="001927CF">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1927CF" w:rsidRPr="00706453" w:rsidRDefault="001927CF" w:rsidP="001927CF">
            <w:pPr>
              <w:pStyle w:val="ListParagraph"/>
              <w:numPr>
                <w:ilvl w:val="0"/>
                <w:numId w:val="4"/>
              </w:numPr>
              <w:spacing w:after="200" w:line="276" w:lineRule="auto"/>
              <w:ind w:left="210" w:hanging="180"/>
              <w:rPr>
                <w:rFonts w:ascii="Arial" w:hAnsi="Arial" w:cs="Arial"/>
                <w:kern w:val="28"/>
              </w:rPr>
            </w:pPr>
            <w:r>
              <w:rPr>
                <w:rFonts w:ascii="Arial" w:hAnsi="Arial" w:cs="Arial"/>
                <w:kern w:val="28"/>
              </w:rPr>
              <w:t>Pretest and Student assessment</w:t>
            </w:r>
          </w:p>
        </w:tc>
        <w:tc>
          <w:tcPr>
            <w:tcW w:w="4680" w:type="dxa"/>
          </w:tcPr>
          <w:p w:rsidR="001927CF" w:rsidRDefault="001927CF" w:rsidP="001927CF">
            <w:pPr>
              <w:pStyle w:val="ListBullet2"/>
              <w:ind w:left="409"/>
              <w:rPr>
                <w:rFonts w:ascii="Arial" w:hAnsi="Arial" w:cs="Arial"/>
              </w:rPr>
            </w:pPr>
            <w:r w:rsidRPr="001927CF">
              <w:rPr>
                <w:rFonts w:ascii="Arial" w:hAnsi="Arial" w:cs="Arial"/>
              </w:rPr>
              <w:t>Expla</w:t>
            </w:r>
            <w:r>
              <w:rPr>
                <w:rFonts w:ascii="Arial" w:hAnsi="Arial" w:cs="Arial"/>
              </w:rPr>
              <w:t>in PTCB Exam outline and expectations, number of questions and time allotted.</w:t>
            </w:r>
          </w:p>
          <w:p w:rsidR="001927CF" w:rsidRPr="001927CF" w:rsidRDefault="001927CF" w:rsidP="001927CF">
            <w:pPr>
              <w:pStyle w:val="ListBullet2"/>
              <w:ind w:left="409"/>
              <w:rPr>
                <w:rFonts w:ascii="Arial" w:hAnsi="Arial" w:cs="Arial"/>
              </w:rPr>
            </w:pPr>
            <w:r>
              <w:rPr>
                <w:rFonts w:ascii="Arial" w:hAnsi="Arial" w:cs="Arial"/>
              </w:rPr>
              <w:t xml:space="preserve">Impart PTCB exam Pretest to asses student overall preparation and knowledge. </w:t>
            </w:r>
          </w:p>
        </w:tc>
        <w:tc>
          <w:tcPr>
            <w:tcW w:w="1800" w:type="dxa"/>
          </w:tcPr>
          <w:p w:rsidR="001927CF" w:rsidRDefault="001927CF" w:rsidP="001927C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1927CF" w:rsidRPr="00892309" w:rsidRDefault="001927CF" w:rsidP="001927C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892309">
              <w:rPr>
                <w:rFonts w:ascii="Arial" w:hAnsi="Arial" w:cs="Arial"/>
                <w:kern w:val="28"/>
              </w:rPr>
              <w:t>Book Exercise</w:t>
            </w:r>
          </w:p>
        </w:tc>
      </w:tr>
      <w:tr w:rsidR="00725DD9" w:rsidTr="000D78A3">
        <w:trPr>
          <w:jc w:val="center"/>
        </w:trPr>
        <w:tc>
          <w:tcPr>
            <w:tcW w:w="1728" w:type="dxa"/>
          </w:tcPr>
          <w:p w:rsidR="006110F7" w:rsidRPr="00707314" w:rsidRDefault="006110F7" w:rsidP="004F3030">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 xml:space="preserve">Day </w:t>
            </w:r>
            <w:r w:rsidR="004F3030">
              <w:rPr>
                <w:rFonts w:ascii="Times New Roman" w:hAnsi="Times New Roman"/>
                <w:b/>
                <w:kern w:val="28"/>
                <w:sz w:val="24"/>
                <w:szCs w:val="24"/>
              </w:rPr>
              <w:t>2</w:t>
            </w:r>
          </w:p>
        </w:tc>
        <w:tc>
          <w:tcPr>
            <w:tcW w:w="2070" w:type="dxa"/>
          </w:tcPr>
          <w:p w:rsidR="00A87203" w:rsidRPr="00706453" w:rsidRDefault="00892309" w:rsidP="006D40B4">
            <w:pPr>
              <w:pStyle w:val="ListParagraph"/>
              <w:numPr>
                <w:ilvl w:val="0"/>
                <w:numId w:val="4"/>
              </w:numPr>
              <w:spacing w:after="200" w:line="276" w:lineRule="auto"/>
              <w:ind w:left="210" w:hanging="180"/>
              <w:rPr>
                <w:rFonts w:ascii="Arial" w:hAnsi="Arial" w:cs="Arial"/>
                <w:kern w:val="28"/>
              </w:rPr>
            </w:pPr>
            <w:r>
              <w:rPr>
                <w:rFonts w:ascii="Arial" w:hAnsi="Arial" w:cs="Arial"/>
                <w:kern w:val="28"/>
              </w:rPr>
              <w:t xml:space="preserve">Pharmacology for </w:t>
            </w:r>
            <w:r w:rsidR="006D40B4">
              <w:rPr>
                <w:rFonts w:ascii="Arial" w:hAnsi="Arial" w:cs="Arial"/>
                <w:kern w:val="28"/>
              </w:rPr>
              <w:t>T</w:t>
            </w:r>
            <w:r>
              <w:rPr>
                <w:rFonts w:ascii="Arial" w:hAnsi="Arial" w:cs="Arial"/>
                <w:kern w:val="28"/>
              </w:rPr>
              <w:t>echnicians</w:t>
            </w:r>
          </w:p>
        </w:tc>
        <w:tc>
          <w:tcPr>
            <w:tcW w:w="4680" w:type="dxa"/>
          </w:tcPr>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Generic and brand names of pharmaceuticals</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Therapeutic equivalence</w:t>
            </w:r>
          </w:p>
          <w:p w:rsidR="0005149F"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Drug interactions (e.g., drug-disease, drug-drug, drug-dietary supplement, drug-OTC, drug-laboratory, drug-nutrient)</w:t>
            </w:r>
          </w:p>
        </w:tc>
        <w:tc>
          <w:tcPr>
            <w:tcW w:w="1800" w:type="dxa"/>
          </w:tcPr>
          <w:p w:rsidR="00892309" w:rsidRDefault="00892309" w:rsidP="00892309">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1E1A6F" w:rsidRPr="00892309" w:rsidRDefault="00892309" w:rsidP="00892309">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892309">
              <w:rPr>
                <w:rFonts w:ascii="Arial" w:hAnsi="Arial" w:cs="Arial"/>
                <w:kern w:val="28"/>
              </w:rPr>
              <w:t>Book Exercise</w:t>
            </w:r>
          </w:p>
        </w:tc>
      </w:tr>
      <w:tr w:rsidR="000F607E" w:rsidTr="000D78A3">
        <w:trPr>
          <w:jc w:val="center"/>
        </w:trPr>
        <w:tc>
          <w:tcPr>
            <w:tcW w:w="1728" w:type="dxa"/>
          </w:tcPr>
          <w:p w:rsidR="000F607E" w:rsidRPr="00AF61A3" w:rsidRDefault="000F607E" w:rsidP="004F303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4F3030">
              <w:rPr>
                <w:rFonts w:ascii="Times New Roman" w:hAnsi="Times New Roman"/>
                <w:b/>
                <w:kern w:val="28"/>
                <w:sz w:val="24"/>
                <w:szCs w:val="24"/>
              </w:rPr>
              <w:t>3</w:t>
            </w:r>
          </w:p>
        </w:tc>
        <w:tc>
          <w:tcPr>
            <w:tcW w:w="2070" w:type="dxa"/>
          </w:tcPr>
          <w:p w:rsidR="000F607E" w:rsidRPr="0020666E" w:rsidRDefault="00892309" w:rsidP="0020666E">
            <w:pPr>
              <w:pStyle w:val="ListParagraph"/>
              <w:numPr>
                <w:ilvl w:val="0"/>
                <w:numId w:val="7"/>
              </w:numPr>
              <w:spacing w:after="200" w:line="276" w:lineRule="auto"/>
              <w:ind w:left="210" w:hanging="180"/>
              <w:rPr>
                <w:rFonts w:ascii="Arial" w:hAnsi="Arial" w:cs="Arial"/>
                <w:kern w:val="28"/>
              </w:rPr>
            </w:pPr>
            <w:r>
              <w:rPr>
                <w:rFonts w:ascii="Arial" w:hAnsi="Arial" w:cs="Arial"/>
                <w:bCs/>
                <w:kern w:val="28"/>
              </w:rPr>
              <w:t>Pharmacology for Technicians</w:t>
            </w:r>
          </w:p>
        </w:tc>
        <w:tc>
          <w:tcPr>
            <w:tcW w:w="4680" w:type="dxa"/>
          </w:tcPr>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Strengths/dose, dosage forms, physical appearance, routes of administration, and duration of drug therapy</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Common and severe side or adverse effects, allergies, and therapeutic contraindications associated with medications</w:t>
            </w:r>
          </w:p>
          <w:p w:rsidR="0005149F" w:rsidRPr="000912E2"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Dosage and indication of legend, OTC medications, herbal and dietary supplements</w:t>
            </w:r>
          </w:p>
        </w:tc>
        <w:tc>
          <w:tcPr>
            <w:tcW w:w="1800" w:type="dxa"/>
          </w:tcPr>
          <w:p w:rsidR="00892309" w:rsidRDefault="00892309" w:rsidP="00892309">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0F607E" w:rsidRPr="00892309" w:rsidRDefault="00892309" w:rsidP="00892309">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892309">
              <w:rPr>
                <w:rFonts w:ascii="Arial" w:hAnsi="Arial" w:cs="Arial"/>
                <w:kern w:val="28"/>
              </w:rPr>
              <w:t>Book Exercise</w:t>
            </w:r>
          </w:p>
        </w:tc>
      </w:tr>
      <w:tr w:rsidR="00725DD9" w:rsidTr="007E6D44">
        <w:trPr>
          <w:jc w:val="center"/>
        </w:trPr>
        <w:tc>
          <w:tcPr>
            <w:tcW w:w="1728" w:type="dxa"/>
            <w:tcBorders>
              <w:bottom w:val="nil"/>
            </w:tcBorders>
          </w:tcPr>
          <w:p w:rsidR="006110F7" w:rsidRPr="00AF61A3" w:rsidRDefault="000F607E" w:rsidP="004F303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4F3030">
              <w:rPr>
                <w:rFonts w:ascii="Times New Roman" w:hAnsi="Times New Roman"/>
                <w:b/>
                <w:kern w:val="28"/>
                <w:sz w:val="24"/>
                <w:szCs w:val="24"/>
              </w:rPr>
              <w:t>4</w:t>
            </w:r>
          </w:p>
        </w:tc>
        <w:tc>
          <w:tcPr>
            <w:tcW w:w="2070" w:type="dxa"/>
            <w:tcBorders>
              <w:bottom w:val="nil"/>
            </w:tcBorders>
          </w:tcPr>
          <w:p w:rsidR="00360F98" w:rsidRPr="00892309" w:rsidRDefault="00892309" w:rsidP="0020666E">
            <w:pPr>
              <w:pStyle w:val="ListParagraph"/>
              <w:numPr>
                <w:ilvl w:val="0"/>
                <w:numId w:val="7"/>
              </w:numPr>
              <w:spacing w:after="200" w:line="276" w:lineRule="auto"/>
              <w:ind w:left="210" w:hanging="180"/>
              <w:rPr>
                <w:rFonts w:ascii="Arial" w:hAnsi="Arial" w:cs="Arial"/>
                <w:kern w:val="28"/>
              </w:rPr>
            </w:pPr>
            <w:r w:rsidRPr="00892309">
              <w:rPr>
                <w:rFonts w:ascii="Arial" w:hAnsi="Arial" w:cs="Arial"/>
                <w:bCs/>
                <w:kern w:val="28"/>
              </w:rPr>
              <w:t>Pharmacy Law and Regulations</w:t>
            </w:r>
          </w:p>
        </w:tc>
        <w:tc>
          <w:tcPr>
            <w:tcW w:w="4680" w:type="dxa"/>
            <w:tcBorders>
              <w:bottom w:val="nil"/>
            </w:tcBorders>
          </w:tcPr>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Storage, handling, and disposal of hazardous substances and wastes (e.g., MSDS)</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Hazardous substances exposure, prevention and treatment (e.g., eyewash, spill kit, MSDS)</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Controlled substance transfer regulations (DEA)</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Controlled substance documentation requirements for receiving, ordering, returning, loss/theft, destruction (DEA)</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Formula to verify the validity of a prescriber’s DEA number (DEA)</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Record keeping, documentation, and record retention (e.g., length of time prescriptions are maintained on file)</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Restricted drug programs and related prescription-processing requirements (e.g., thalidomide, isotretinoin, clozapine</w:t>
            </w:r>
          </w:p>
          <w:p w:rsidR="003E6E7F" w:rsidRPr="003E6E7F"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Professional standards related to data integrity, security, and confidentiality (e.g., HIPAA, backing up and archiving)</w:t>
            </w:r>
          </w:p>
        </w:tc>
        <w:tc>
          <w:tcPr>
            <w:tcW w:w="1800" w:type="dxa"/>
            <w:tcBorders>
              <w:bottom w:val="nil"/>
            </w:tcBorders>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7E6D44">
        <w:trPr>
          <w:jc w:val="center"/>
        </w:trPr>
        <w:tc>
          <w:tcPr>
            <w:tcW w:w="1728" w:type="dxa"/>
            <w:tcBorders>
              <w:top w:val="nil"/>
            </w:tcBorders>
          </w:tcPr>
          <w:p w:rsidR="006110F7" w:rsidRPr="00AF61A3" w:rsidRDefault="006110F7" w:rsidP="00BC40F1">
            <w:pPr>
              <w:widowControl w:val="0"/>
              <w:overflowPunct w:val="0"/>
              <w:autoSpaceDE w:val="0"/>
              <w:autoSpaceDN w:val="0"/>
              <w:adjustRightInd w:val="0"/>
              <w:jc w:val="right"/>
              <w:rPr>
                <w:rFonts w:ascii="Times New Roman" w:hAnsi="Times New Roman"/>
                <w:b/>
                <w:kern w:val="28"/>
                <w:sz w:val="24"/>
                <w:szCs w:val="24"/>
              </w:rPr>
            </w:pPr>
          </w:p>
        </w:tc>
        <w:tc>
          <w:tcPr>
            <w:tcW w:w="2070" w:type="dxa"/>
            <w:tcBorders>
              <w:top w:val="nil"/>
            </w:tcBorders>
          </w:tcPr>
          <w:p w:rsidR="006110F7" w:rsidRPr="00D870B4" w:rsidRDefault="00AD01AD" w:rsidP="00892309">
            <w:pPr>
              <w:pStyle w:val="ListParagraph"/>
              <w:numPr>
                <w:ilvl w:val="0"/>
                <w:numId w:val="6"/>
              </w:numPr>
              <w:spacing w:after="200" w:line="276" w:lineRule="auto"/>
              <w:ind w:left="210" w:hanging="179"/>
              <w:rPr>
                <w:rFonts w:ascii="Arial" w:hAnsi="Arial" w:cs="Arial"/>
                <w:kern w:val="28"/>
              </w:rPr>
            </w:pPr>
            <w:r>
              <w:rPr>
                <w:rFonts w:ascii="Arial" w:hAnsi="Arial" w:cs="Arial"/>
                <w:kern w:val="28"/>
              </w:rPr>
              <w:t xml:space="preserve">Pharmacy Law </w:t>
            </w:r>
            <w:r w:rsidR="003E6E7F">
              <w:rPr>
                <w:rFonts w:ascii="Arial" w:hAnsi="Arial" w:cs="Arial"/>
                <w:kern w:val="28"/>
              </w:rPr>
              <w:t>and Regulat</w:t>
            </w:r>
            <w:r w:rsidR="00892309">
              <w:rPr>
                <w:rFonts w:ascii="Arial" w:hAnsi="Arial" w:cs="Arial"/>
                <w:kern w:val="28"/>
              </w:rPr>
              <w:t>ions</w:t>
            </w:r>
          </w:p>
        </w:tc>
        <w:tc>
          <w:tcPr>
            <w:tcW w:w="4680" w:type="dxa"/>
            <w:tcBorders>
              <w:top w:val="nil"/>
            </w:tcBorders>
          </w:tcPr>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Requirement for consultation (e.g., OBRA'90)</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FDA’s recall classification</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lastRenderedPageBreak/>
              <w:t>Infection control standards (e.g., laminar air flow, clean room, hand washing, cleaning counting trays, countertop, and</w:t>
            </w:r>
            <w:r>
              <w:rPr>
                <w:rFonts w:ascii="Arial" w:hAnsi="Arial" w:cs="Arial"/>
              </w:rPr>
              <w:t xml:space="preserve"> </w:t>
            </w:r>
            <w:r w:rsidRPr="00892309">
              <w:rPr>
                <w:rFonts w:ascii="Arial" w:hAnsi="Arial" w:cs="Arial"/>
              </w:rPr>
              <w:t>equipment) (OSHA, USP 795 and 797)</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Record keeping for repackaged and recalled products and supplies (TJC, BOP)</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 xml:space="preserve">Professional standards regarding the roles and responsibilities of pharmacists, </w:t>
            </w:r>
            <w:r>
              <w:rPr>
                <w:rFonts w:ascii="Arial" w:hAnsi="Arial" w:cs="Arial"/>
              </w:rPr>
              <w:t xml:space="preserve">pharmacy technicians, and other </w:t>
            </w:r>
            <w:r w:rsidRPr="00892309">
              <w:rPr>
                <w:rFonts w:ascii="Arial" w:hAnsi="Arial" w:cs="Arial"/>
              </w:rPr>
              <w:t>pharmacy</w:t>
            </w:r>
            <w:r>
              <w:rPr>
                <w:rFonts w:ascii="Arial" w:hAnsi="Arial" w:cs="Arial"/>
              </w:rPr>
              <w:t xml:space="preserve"> </w:t>
            </w:r>
            <w:r w:rsidRPr="00892309">
              <w:rPr>
                <w:rFonts w:ascii="Arial" w:hAnsi="Arial" w:cs="Arial"/>
              </w:rPr>
              <w:t>employees (TJC, BOP)</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Reconciliation between state and federal laws and regulations</w:t>
            </w:r>
          </w:p>
          <w:p w:rsidR="00135186"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Facility, equipment, and supply requirements (e.g., space requirements, prescription file storage, cleanliness, reference</w:t>
            </w:r>
            <w:r>
              <w:rPr>
                <w:rFonts w:ascii="Arial" w:hAnsi="Arial" w:cs="Arial"/>
              </w:rPr>
              <w:t xml:space="preserve"> </w:t>
            </w:r>
            <w:r w:rsidRPr="00892309">
              <w:rPr>
                <w:rFonts w:ascii="Arial" w:hAnsi="Arial" w:cs="Arial"/>
              </w:rPr>
              <w:t>materials) (TJC, USP, BOP)</w:t>
            </w:r>
          </w:p>
        </w:tc>
        <w:tc>
          <w:tcPr>
            <w:tcW w:w="1800" w:type="dxa"/>
            <w:tcBorders>
              <w:top w:val="nil"/>
            </w:tcBorders>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892309"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Sterile and Non-Sterile Compounding</w:t>
            </w:r>
          </w:p>
        </w:tc>
        <w:tc>
          <w:tcPr>
            <w:tcW w:w="4680" w:type="dxa"/>
          </w:tcPr>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Infection control (e.g., hand washing, PPE)</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Handling and disposal requirements (e.g., receptacles, waste streams)</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Documentation (e.g., batch preparation, compounding record)</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Determine product stability (e.g., beyond use dating, signs of incompatibility)</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Selection and use of equipment and supplies</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Sterile compounding processes</w:t>
            </w:r>
          </w:p>
          <w:p w:rsidR="000F607E" w:rsidRPr="00B63277"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Non-sterile compounding processes</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C467F2" w:rsidRDefault="00892309"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Medication Safety</w:t>
            </w:r>
          </w:p>
        </w:tc>
        <w:tc>
          <w:tcPr>
            <w:tcW w:w="4680" w:type="dxa"/>
          </w:tcPr>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Error prevention strategies for data entry (e.g., prescription or medication order to correct patient)</w:t>
            </w:r>
          </w:p>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Patient package insert and medication guide requirements (e.g., special directions and precautions)</w:t>
            </w:r>
          </w:p>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Identify issues that require pharmacist intervention (e.g., DUR, ADE, OTC recommendation, therapeutic substitution,</w:t>
            </w:r>
          </w:p>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misuse, missed dose)</w:t>
            </w:r>
          </w:p>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Look-alike/sound-alike medications</w:t>
            </w:r>
          </w:p>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High-alert/risk medications</w:t>
            </w:r>
          </w:p>
          <w:p w:rsidR="00CB3483"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Common safety strategies (e.g., tall man lettering, separating inventory, leading and trailing zeros, limit use of error prone</w:t>
            </w:r>
            <w:r>
              <w:rPr>
                <w:rFonts w:ascii="Arial" w:hAnsi="Arial" w:cs="Arial"/>
              </w:rPr>
              <w:t xml:space="preserve"> </w:t>
            </w:r>
            <w:r w:rsidRPr="00892309">
              <w:rPr>
                <w:rFonts w:ascii="Arial" w:hAnsi="Arial" w:cs="Arial"/>
              </w:rPr>
              <w:t>abbreviations)</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C467F2" w:rsidRDefault="00B774EA" w:rsidP="00725DD9">
            <w:pPr>
              <w:numPr>
                <w:ilvl w:val="0"/>
                <w:numId w:val="5"/>
              </w:numPr>
              <w:spacing w:after="200" w:line="276" w:lineRule="auto"/>
              <w:ind w:left="198" w:hanging="198"/>
              <w:rPr>
                <w:rFonts w:ascii="Arial" w:hAnsi="Arial" w:cs="Arial"/>
                <w:bCs/>
                <w:kern w:val="28"/>
              </w:rPr>
            </w:pPr>
            <w:r>
              <w:rPr>
                <w:rFonts w:ascii="Arial" w:hAnsi="Arial" w:cs="Arial"/>
                <w:bCs/>
                <w:kern w:val="28"/>
              </w:rPr>
              <w:t>Medication Order Entry and Fill Process</w:t>
            </w:r>
          </w:p>
        </w:tc>
        <w:tc>
          <w:tcPr>
            <w:tcW w:w="4680" w:type="dxa"/>
          </w:tcPr>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Order entry process</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Intake, interpretation, and data entry</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Calculate doses required</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lastRenderedPageBreak/>
              <w:t>Fill process (e.g., select appropriate product, apply special handling requirements, measure, and prepare product for final</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check)</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Labeling requirements (e.g., auxiliary and warning labels, expiration date, patient specific information)</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Packaging requirements (e.g., ty</w:t>
            </w:r>
            <w:r w:rsidR="00AD01AD">
              <w:rPr>
                <w:rFonts w:ascii="Arial" w:hAnsi="Arial" w:cs="Arial"/>
              </w:rPr>
              <w:t>pe of bags, syringes, glass, PVC</w:t>
            </w:r>
            <w:r w:rsidRPr="00B774EA">
              <w:rPr>
                <w:rFonts w:ascii="Arial" w:hAnsi="Arial" w:cs="Arial"/>
              </w:rPr>
              <w:t>, child resistant, light resistant)</w:t>
            </w:r>
          </w:p>
          <w:p w:rsidR="00342AD1" w:rsidRPr="00342AD1"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Dispensing process (e.g., validation, documentation and distribution)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7E6D44">
        <w:trPr>
          <w:jc w:val="center"/>
        </w:trPr>
        <w:tc>
          <w:tcPr>
            <w:tcW w:w="1728" w:type="dxa"/>
            <w:tcBorders>
              <w:bottom w:val="nil"/>
            </w:tcBorders>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Borders>
              <w:bottom w:val="nil"/>
            </w:tcBorders>
          </w:tcPr>
          <w:p w:rsidR="00487847" w:rsidRPr="001C663C" w:rsidRDefault="00B774EA" w:rsidP="00693D2C">
            <w:pPr>
              <w:pStyle w:val="ListParagraph"/>
              <w:numPr>
                <w:ilvl w:val="0"/>
                <w:numId w:val="7"/>
              </w:numPr>
              <w:spacing w:after="200" w:line="276" w:lineRule="auto"/>
              <w:ind w:left="229" w:hanging="180"/>
              <w:rPr>
                <w:rFonts w:ascii="Arial" w:hAnsi="Arial" w:cs="Arial"/>
                <w:kern w:val="28"/>
              </w:rPr>
            </w:pPr>
            <w:r w:rsidRPr="00B774EA">
              <w:rPr>
                <w:rFonts w:ascii="Arial" w:hAnsi="Arial" w:cs="Arial"/>
                <w:bCs/>
                <w:kern w:val="28"/>
              </w:rPr>
              <w:t>Pharmacy Inventory Management</w:t>
            </w:r>
          </w:p>
        </w:tc>
        <w:tc>
          <w:tcPr>
            <w:tcW w:w="4680" w:type="dxa"/>
            <w:tcBorders>
              <w:bottom w:val="nil"/>
            </w:tcBorders>
          </w:tcPr>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Function and application of NDC, lot numbers and expiration dates</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Formulary or approved/preferred product list</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Ordering and receiving processes (e.g., maintain par levels, rotate stock)</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Storage requirements (e.g., refrigeration, freezer, warmer)</w:t>
            </w:r>
          </w:p>
          <w:p w:rsidR="003D7240" w:rsidRPr="003D7240"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Removal (e.g., recalls, returns, outdates, reverse distribution)</w:t>
            </w:r>
          </w:p>
        </w:tc>
        <w:tc>
          <w:tcPr>
            <w:tcW w:w="1800" w:type="dxa"/>
            <w:tcBorders>
              <w:bottom w:val="nil"/>
            </w:tcBorders>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7E6D44">
        <w:trPr>
          <w:jc w:val="center"/>
        </w:trPr>
        <w:tc>
          <w:tcPr>
            <w:tcW w:w="1728" w:type="dxa"/>
            <w:tcBorders>
              <w:top w:val="nil"/>
            </w:tcBorders>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p>
        </w:tc>
        <w:tc>
          <w:tcPr>
            <w:tcW w:w="2070" w:type="dxa"/>
            <w:tcBorders>
              <w:top w:val="nil"/>
            </w:tcBorders>
          </w:tcPr>
          <w:p w:rsidR="00B931B4" w:rsidRPr="00B931B4" w:rsidRDefault="00B774EA" w:rsidP="00B931B4">
            <w:pPr>
              <w:numPr>
                <w:ilvl w:val="0"/>
                <w:numId w:val="5"/>
              </w:numPr>
              <w:tabs>
                <w:tab w:val="right" w:pos="3928"/>
              </w:tabs>
              <w:spacing w:line="220" w:lineRule="exact"/>
              <w:ind w:left="198" w:right="29" w:hanging="169"/>
              <w:rPr>
                <w:rFonts w:ascii="Arial" w:hAnsi="Arial" w:cs="Arial"/>
                <w:kern w:val="28"/>
              </w:rPr>
            </w:pPr>
            <w:r>
              <w:rPr>
                <w:rFonts w:ascii="Arial" w:hAnsi="Arial" w:cs="Arial"/>
                <w:kern w:val="28"/>
              </w:rPr>
              <w:t>Pharmacy Billing and Reimbursement</w:t>
            </w:r>
          </w:p>
        </w:tc>
        <w:tc>
          <w:tcPr>
            <w:tcW w:w="4680" w:type="dxa"/>
            <w:tcBorders>
              <w:top w:val="nil"/>
            </w:tcBorders>
          </w:tcPr>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Reimbursement policies and plans (e.g., HMOs, PPO, CMS, private plans)</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Third party resolution (e.g., prior authorization, rejected claims, plan limitations)</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Third-party reimbursement systems (e.g., PBM, medication assistance programs, coupons, and self-pay)</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Healthcare reimbursement systems (e.g., home health, long-term care, home infusion)</w:t>
            </w:r>
          </w:p>
          <w:p w:rsidR="008F3B6E" w:rsidRPr="008F3B6E"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Coordination of benefits</w:t>
            </w:r>
          </w:p>
        </w:tc>
        <w:tc>
          <w:tcPr>
            <w:tcW w:w="1800" w:type="dxa"/>
            <w:tcBorders>
              <w:top w:val="nil"/>
            </w:tcBorders>
          </w:tcPr>
          <w:p w:rsidR="006110F7" w:rsidRPr="00487847" w:rsidRDefault="004C0843" w:rsidP="00E826FB">
            <w:pPr>
              <w:pStyle w:val="ListParagraph"/>
              <w:widowControl w:val="0"/>
              <w:numPr>
                <w:ilvl w:val="0"/>
                <w:numId w:val="7"/>
              </w:numPr>
              <w:overflowPunct w:val="0"/>
              <w:autoSpaceDE w:val="0"/>
              <w:autoSpaceDN w:val="0"/>
              <w:adjustRightInd w:val="0"/>
              <w:ind w:left="140" w:hanging="140"/>
              <w:jc w:val="both"/>
              <w:rPr>
                <w:rFonts w:ascii="Arial" w:hAnsi="Arial" w:cs="Arial"/>
                <w:kern w:val="28"/>
              </w:rPr>
            </w:pPr>
            <w:r w:rsidRPr="00487847">
              <w:rPr>
                <w:rFonts w:ascii="Arial" w:hAnsi="Arial" w:cs="Arial"/>
                <w:kern w:val="28"/>
              </w:rPr>
              <w:t>Quiz #2</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F4A85" w:rsidRDefault="00AD01AD" w:rsidP="000F4A85">
            <w:pPr>
              <w:pStyle w:val="ListParagraph"/>
              <w:numPr>
                <w:ilvl w:val="0"/>
                <w:numId w:val="8"/>
              </w:numPr>
              <w:spacing w:after="200" w:line="276" w:lineRule="auto"/>
              <w:ind w:left="198" w:hanging="198"/>
              <w:rPr>
                <w:rFonts w:ascii="Arial" w:hAnsi="Arial" w:cs="Arial"/>
                <w:kern w:val="28"/>
              </w:rPr>
            </w:pPr>
            <w:r>
              <w:rPr>
                <w:rFonts w:ascii="Arial" w:hAnsi="Arial" w:cs="Arial"/>
                <w:kern w:val="28"/>
              </w:rPr>
              <w:t>Pharmacy Quality Assurance</w:t>
            </w:r>
          </w:p>
        </w:tc>
        <w:tc>
          <w:tcPr>
            <w:tcW w:w="4680" w:type="dxa"/>
          </w:tcPr>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Quality assurance practices for medication and inventory control systems (e.g., matching National Drug Code (NDC)</w:t>
            </w:r>
          </w:p>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number, bar code, data entry)</w:t>
            </w:r>
          </w:p>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Infection control procedures and documentation (e.g., personal protective equipment [PPE], needle recapping)</w:t>
            </w:r>
          </w:p>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Risk management guidelines and regulations (e.g., error prevention strategies)</w:t>
            </w:r>
          </w:p>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Communication channels necessary to ensure appropriate follow-up and problem resolution (e.g., product recalls, shortages)</w:t>
            </w:r>
          </w:p>
          <w:p w:rsidR="000B4C15" w:rsidRPr="000B4C15"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Productivity, efficiency, and customer satisfaction measures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2F27C5" w:rsidRPr="003C64D7" w:rsidRDefault="00AD01AD" w:rsidP="00562E3A">
            <w:pPr>
              <w:pStyle w:val="ListParagraph"/>
              <w:numPr>
                <w:ilvl w:val="0"/>
                <w:numId w:val="8"/>
              </w:numPr>
              <w:spacing w:after="200" w:line="276" w:lineRule="auto"/>
              <w:ind w:left="210" w:hanging="180"/>
              <w:rPr>
                <w:rFonts w:ascii="Arial" w:hAnsi="Arial" w:cs="Arial"/>
                <w:kern w:val="28"/>
              </w:rPr>
            </w:pPr>
            <w:r>
              <w:rPr>
                <w:rFonts w:ascii="Arial" w:hAnsi="Arial" w:cs="Arial"/>
                <w:kern w:val="28"/>
              </w:rPr>
              <w:t>Pharmacy Information System Usage and Application</w:t>
            </w:r>
          </w:p>
        </w:tc>
        <w:tc>
          <w:tcPr>
            <w:tcW w:w="4680" w:type="dxa"/>
          </w:tcPr>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Pharmacy-related computer applications for documenting the dispensing of prescriptions or medication orders (e.g. Maintaining the electronic medical record, patient adherence, risk factors, alcohol drug use, drug allergies, side effects)</w:t>
            </w:r>
          </w:p>
          <w:p w:rsidR="003A7F56"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Databases, pharmacy computer applications, and documentation management (e.g., user access, drug database, interface,</w:t>
            </w:r>
            <w:r>
              <w:rPr>
                <w:rFonts w:ascii="Arial" w:hAnsi="Arial" w:cs="Arial"/>
              </w:rPr>
              <w:t xml:space="preserve"> </w:t>
            </w:r>
            <w:r w:rsidRPr="00AD01AD">
              <w:rPr>
                <w:rFonts w:ascii="Arial" w:hAnsi="Arial" w:cs="Arial"/>
              </w:rPr>
              <w:t>inventory report, usage reports, override reports, diversion reports)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Pr="00D4347C" w:rsidRDefault="00AD01AD" w:rsidP="00562E3A">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6616A7" w:rsidRPr="00562E3A" w:rsidRDefault="00AD01AD" w:rsidP="00562E3A">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AD01AD" w:rsidTr="000D78A3">
        <w:trPr>
          <w:jc w:val="center"/>
        </w:trPr>
        <w:tc>
          <w:tcPr>
            <w:tcW w:w="1728" w:type="dxa"/>
          </w:tcPr>
          <w:p w:rsidR="00AD01AD" w:rsidRDefault="00AD01AD" w:rsidP="00AD01AD">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AD01AD" w:rsidRPr="00D4347C" w:rsidRDefault="00AD01AD" w:rsidP="00AD01AD">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AD01AD" w:rsidRPr="00562E3A" w:rsidRDefault="00AD01AD" w:rsidP="00AD01AD">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Pr>
          <w:p w:rsidR="00AD01AD"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AD01AD" w:rsidRPr="00A82D45"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AD01AD" w:rsidTr="000D78A3">
        <w:trPr>
          <w:jc w:val="center"/>
        </w:trPr>
        <w:tc>
          <w:tcPr>
            <w:tcW w:w="1728" w:type="dxa"/>
          </w:tcPr>
          <w:p w:rsidR="00AD01AD" w:rsidRDefault="00AD01AD" w:rsidP="00AD01AD">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AD01AD" w:rsidRPr="00D4347C" w:rsidRDefault="00AD01AD" w:rsidP="00AD01AD">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AD01AD" w:rsidRPr="00562E3A" w:rsidRDefault="00AD01AD" w:rsidP="00AD01AD">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Pr>
          <w:p w:rsidR="00AD01AD"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AD01AD" w:rsidRPr="00A82D45"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AD01AD" w:rsidTr="007E6D44">
        <w:trPr>
          <w:jc w:val="center"/>
        </w:trPr>
        <w:tc>
          <w:tcPr>
            <w:tcW w:w="1728" w:type="dxa"/>
            <w:tcBorders>
              <w:bottom w:val="single" w:sz="4" w:space="0" w:color="auto"/>
            </w:tcBorders>
          </w:tcPr>
          <w:p w:rsidR="00AD01AD" w:rsidRDefault="00AD01AD" w:rsidP="00AD01AD">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AD01AD" w:rsidRPr="00D4347C" w:rsidRDefault="00AD01AD" w:rsidP="00AD01AD">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AD01AD" w:rsidRPr="00562E3A" w:rsidRDefault="00AD01AD" w:rsidP="00AD01AD">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Pr>
          <w:p w:rsidR="00AD01AD"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AD01AD" w:rsidRPr="00A82D45"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AD01AD" w:rsidTr="007E6D44">
        <w:trPr>
          <w:jc w:val="center"/>
        </w:trPr>
        <w:tc>
          <w:tcPr>
            <w:tcW w:w="1728" w:type="dxa"/>
            <w:tcBorders>
              <w:bottom w:val="single" w:sz="4" w:space="0" w:color="auto"/>
            </w:tcBorders>
          </w:tcPr>
          <w:p w:rsidR="00AD01AD" w:rsidRDefault="00AD01AD" w:rsidP="00AD01AD">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AD01AD" w:rsidRPr="00D4347C" w:rsidRDefault="00AD01AD" w:rsidP="00AD01AD">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AD01AD" w:rsidRPr="00562E3A" w:rsidRDefault="00AD01AD" w:rsidP="00AD01AD">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Borders>
              <w:bottom w:val="single" w:sz="4" w:space="0" w:color="auto"/>
            </w:tcBorders>
          </w:tcPr>
          <w:p w:rsidR="00AD01AD"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AD01AD" w:rsidRPr="00A82D45"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AD01AD" w:rsidTr="007E6D44">
        <w:trPr>
          <w:jc w:val="center"/>
        </w:trPr>
        <w:tc>
          <w:tcPr>
            <w:tcW w:w="1728" w:type="dxa"/>
            <w:tcBorders>
              <w:bottom w:val="single" w:sz="4" w:space="0" w:color="auto"/>
            </w:tcBorders>
          </w:tcPr>
          <w:p w:rsidR="00AD01AD" w:rsidRDefault="00AD01AD" w:rsidP="00AD01AD">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AD01AD" w:rsidRPr="00D4347C" w:rsidRDefault="00AD01AD" w:rsidP="00AD01AD">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AD01AD" w:rsidRPr="00562E3A" w:rsidRDefault="00AD01AD" w:rsidP="00AD01AD">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Pr>
          <w:p w:rsidR="00AD01AD"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AD01AD" w:rsidRPr="00A82D45"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bl>
    <w:p w:rsidR="00A04FD2" w:rsidRDefault="00A04FD2" w:rsidP="00220334">
      <w:pPr>
        <w:jc w:val="center"/>
      </w:pPr>
    </w:p>
    <w:p w:rsidR="0077397E" w:rsidRPr="0005269B" w:rsidRDefault="0077397E" w:rsidP="0077397E">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77397E" w:rsidRPr="0005269B" w:rsidRDefault="0077397E" w:rsidP="0077397E">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77397E" w:rsidRPr="0005269B" w:rsidTr="00B20487">
        <w:trPr>
          <w:trHeight w:val="332"/>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lastRenderedPageBreak/>
              <w:t>Letter</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77397E" w:rsidRPr="0005269B" w:rsidTr="00B20487">
        <w:trPr>
          <w:trHeight w:val="281"/>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77397E" w:rsidRPr="0005269B" w:rsidTr="00B20487">
        <w:trPr>
          <w:trHeight w:val="281"/>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77397E" w:rsidRPr="0005269B" w:rsidTr="00B20487">
        <w:trPr>
          <w:trHeight w:val="281"/>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77397E" w:rsidRPr="0005269B" w:rsidTr="00B20487">
        <w:trPr>
          <w:trHeight w:val="281"/>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77397E" w:rsidRPr="0005269B" w:rsidTr="00B20487">
        <w:trPr>
          <w:trHeight w:val="281"/>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77397E" w:rsidRPr="0005269B" w:rsidTr="00B20487">
        <w:trPr>
          <w:trHeight w:val="304"/>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77397E" w:rsidRPr="0005269B" w:rsidRDefault="0077397E" w:rsidP="0077397E">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77397E" w:rsidRPr="0005269B" w:rsidRDefault="0077397E" w:rsidP="0077397E">
      <w:pPr>
        <w:spacing w:after="0" w:line="240" w:lineRule="auto"/>
        <w:jc w:val="center"/>
        <w:rPr>
          <w:rFonts w:ascii="Times New Roman" w:eastAsia="Times New Roman" w:hAnsi="Times New Roman" w:cs="Times New Roman"/>
          <w:i/>
          <w:color w:val="000000"/>
        </w:rPr>
      </w:pPr>
    </w:p>
    <w:p w:rsidR="0077397E" w:rsidRPr="0005269B" w:rsidRDefault="0077397E" w:rsidP="0077397E">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77397E" w:rsidRPr="0005269B" w:rsidRDefault="0077397E" w:rsidP="0077397E">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77397E" w:rsidRPr="0005269B" w:rsidRDefault="0077397E" w:rsidP="0077397E">
      <w:pPr>
        <w:spacing w:after="0" w:line="240" w:lineRule="auto"/>
        <w:rPr>
          <w:rFonts w:ascii="Times New Roman" w:eastAsia="Times New Roman" w:hAnsi="Times New Roman" w:cs="Times New Roman"/>
          <w:color w:val="000000"/>
        </w:rPr>
      </w:pPr>
    </w:p>
    <w:p w:rsidR="0077397E" w:rsidRPr="0005269B" w:rsidRDefault="0077397E" w:rsidP="0077397E">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77397E" w:rsidRPr="0005269B" w:rsidRDefault="0077397E" w:rsidP="0077397E">
      <w:pPr>
        <w:rPr>
          <w:rFonts w:ascii="Times New Roman" w:eastAsia="Calibri" w:hAnsi="Times New Roman" w:cs="Times New Roman"/>
          <w:b/>
          <w:sz w:val="24"/>
          <w:szCs w:val="24"/>
          <w:u w:val="single"/>
        </w:rPr>
      </w:pPr>
    </w:p>
    <w:p w:rsidR="0077397E" w:rsidRPr="0005269B" w:rsidRDefault="0077397E" w:rsidP="0077397E">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lastRenderedPageBreak/>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w:t>
      </w:r>
      <w:proofErr w:type="gramStart"/>
      <w:r w:rsidRPr="0005269B">
        <w:rPr>
          <w:rFonts w:ascii="Times New Roman" w:eastAsia="Times New Roman" w:hAnsi="Times New Roman" w:cs="Times New Roman"/>
          <w:sz w:val="23"/>
          <w:szCs w:val="23"/>
        </w:rPr>
        <w:t>has</w:t>
      </w:r>
      <w:proofErr w:type="gramEnd"/>
      <w:r w:rsidRPr="0005269B">
        <w:rPr>
          <w:rFonts w:ascii="Times New Roman" w:eastAsia="Times New Roman" w:hAnsi="Times New Roman" w:cs="Times New Roman"/>
          <w:sz w:val="23"/>
          <w:szCs w:val="23"/>
        </w:rPr>
        <w:t xml:space="preserve">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77397E" w:rsidRPr="0005269B" w:rsidRDefault="0077397E" w:rsidP="0077397E">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p>
    <w:p w:rsidR="0077397E" w:rsidRPr="0005269B" w:rsidRDefault="0077397E" w:rsidP="0077397E">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77397E" w:rsidRPr="0005269B" w:rsidRDefault="0077397E" w:rsidP="0077397E">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 hours scheduled if the student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77397E" w:rsidRPr="0005269B" w:rsidRDefault="0077397E" w:rsidP="0077397E">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77397E" w:rsidRPr="0005269B" w:rsidRDefault="0077397E" w:rsidP="0077397E">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77397E" w:rsidRPr="0005269B" w:rsidRDefault="0077397E" w:rsidP="0077397E">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lastRenderedPageBreak/>
        <w:t>Arrangements to make-up assignments, project, test, and homework missed as a result of absence must be made with the approval of the instructor. Make-up work must be completed within ten (10) calendar days after the end of the module</w:t>
      </w:r>
    </w:p>
    <w:p w:rsidR="0077397E" w:rsidRPr="0005269B" w:rsidRDefault="0077397E" w:rsidP="0077397E">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77397E" w:rsidRPr="0005269B" w:rsidRDefault="0077397E" w:rsidP="0077397E">
      <w:pPr>
        <w:widowControl w:val="0"/>
        <w:autoSpaceDE w:val="0"/>
        <w:autoSpaceDN w:val="0"/>
        <w:adjustRightInd w:val="0"/>
        <w:spacing w:after="0" w:line="240" w:lineRule="auto"/>
        <w:rPr>
          <w:rFonts w:ascii="Times New Roman" w:eastAsia="Times New Roman" w:hAnsi="Times New Roman" w:cs="Times New Roman"/>
          <w:b/>
        </w:rPr>
      </w:pPr>
    </w:p>
    <w:p w:rsidR="0077397E" w:rsidRPr="0005269B" w:rsidRDefault="0077397E" w:rsidP="0077397E">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77397E" w:rsidRPr="0005269B" w:rsidRDefault="0077397E" w:rsidP="0077397E">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77397E" w:rsidRPr="0005269B" w:rsidRDefault="0077397E" w:rsidP="0077397E">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77397E" w:rsidRPr="0005269B" w:rsidRDefault="0077397E" w:rsidP="0077397E">
      <w:pPr>
        <w:widowControl w:val="0"/>
        <w:autoSpaceDE w:val="0"/>
        <w:autoSpaceDN w:val="0"/>
        <w:adjustRightInd w:val="0"/>
        <w:spacing w:after="0" w:line="240" w:lineRule="auto"/>
        <w:rPr>
          <w:rFonts w:ascii="Times New Roman" w:eastAsia="Times New Roman" w:hAnsi="Times New Roman" w:cs="Times New Roman"/>
          <w:b/>
          <w:bCs/>
        </w:rPr>
      </w:pPr>
    </w:p>
    <w:p w:rsidR="0077397E" w:rsidRPr="0005269B" w:rsidRDefault="0077397E" w:rsidP="0077397E">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77397E" w:rsidRPr="0005269B" w:rsidRDefault="0077397E" w:rsidP="0077397E">
      <w:pPr>
        <w:widowControl w:val="0"/>
        <w:autoSpaceDE w:val="0"/>
        <w:autoSpaceDN w:val="0"/>
        <w:adjustRightInd w:val="0"/>
        <w:spacing w:after="0" w:line="240" w:lineRule="auto"/>
        <w:rPr>
          <w:rFonts w:ascii="Times New Roman" w:eastAsia="Times New Roman" w:hAnsi="Times New Roman" w:cs="Times New Roman"/>
          <w:b/>
        </w:rPr>
      </w:pPr>
    </w:p>
    <w:p w:rsidR="00AD5418" w:rsidRPr="007E6D44" w:rsidRDefault="0077397E" w:rsidP="0077397E">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AD5418" w:rsidRPr="007E6D4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D44" w:rsidRDefault="007E6D44" w:rsidP="00967903">
      <w:pPr>
        <w:spacing w:after="0" w:line="240" w:lineRule="auto"/>
      </w:pPr>
      <w:r>
        <w:separator/>
      </w:r>
    </w:p>
  </w:endnote>
  <w:endnote w:type="continuationSeparator" w:id="0">
    <w:p w:rsidR="007E6D44" w:rsidRDefault="007E6D44"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D44" w:rsidRPr="004977CD" w:rsidRDefault="007E6D44"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D943EA">
      <w:rPr>
        <w:rFonts w:ascii="Times New Roman" w:hAnsi="Times New Roman" w:cs="Times New Roman"/>
        <w:noProof/>
      </w:rPr>
      <w:t>1</w:t>
    </w:r>
    <w:r w:rsidRPr="004977CD">
      <w:rPr>
        <w:rFonts w:ascii="Times New Roman" w:hAnsi="Times New Roman" w:cs="Times New Roman"/>
        <w:noProof/>
      </w:rPr>
      <w:fldChar w:fldCharType="end"/>
    </w:r>
  </w:p>
  <w:p w:rsidR="007E6D44" w:rsidRPr="004977CD" w:rsidRDefault="007E6D44" w:rsidP="00967903">
    <w:pPr>
      <w:pStyle w:val="Footer"/>
      <w:jc w:val="right"/>
      <w:rPr>
        <w:rFonts w:ascii="Times New Roman" w:hAnsi="Times New Roman" w:cs="Times New Roman"/>
        <w:sz w:val="20"/>
      </w:rPr>
    </w:pPr>
    <w:r>
      <w:rPr>
        <w:rFonts w:ascii="Times New Roman" w:hAnsi="Times New Roman" w:cs="Times New Roman"/>
        <w:sz w:val="20"/>
      </w:rPr>
      <w:t>Revised 11-25</w:t>
    </w:r>
    <w:r w:rsidRPr="004977CD">
      <w:rPr>
        <w:rFonts w:ascii="Times New Roman" w:hAnsi="Times New Roman" w:cs="Times New Roman"/>
        <w:sz w:val="20"/>
      </w:rPr>
      <w:t>-2015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D44" w:rsidRDefault="007E6D44" w:rsidP="00967903">
      <w:pPr>
        <w:spacing w:after="0" w:line="240" w:lineRule="auto"/>
      </w:pPr>
      <w:r>
        <w:separator/>
      </w:r>
    </w:p>
  </w:footnote>
  <w:footnote w:type="continuationSeparator" w:id="0">
    <w:p w:rsidR="007E6D44" w:rsidRDefault="007E6D44"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D44" w:rsidRPr="00967903" w:rsidRDefault="007E6D44" w:rsidP="00967903">
    <w:pPr>
      <w:pStyle w:val="Header"/>
      <w:jc w:val="right"/>
      <w:rPr>
        <w:rFonts w:ascii="Times New Roman" w:hAnsi="Times New Roman" w:cs="Times New Roman"/>
      </w:rPr>
    </w:pPr>
    <w:r>
      <w:rPr>
        <w:rFonts w:ascii="Times New Roman" w:hAnsi="Times New Roman" w:cs="Times New Roman"/>
      </w:rPr>
      <w:t>Syllabus/</w:t>
    </w:r>
    <w:r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3F32139"/>
    <w:multiLevelType w:val="hybridMultilevel"/>
    <w:tmpl w:val="7C0A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E6A89"/>
    <w:multiLevelType w:val="multilevel"/>
    <w:tmpl w:val="6C66101C"/>
    <w:lvl w:ilvl="0">
      <w:start w:val="1"/>
      <w:numFmt w:val="bullet"/>
      <w:pStyle w:val="ListBullet2"/>
      <w:lvlText w:val=""/>
      <w:lvlJc w:val="left"/>
      <w:pPr>
        <w:ind w:left="360" w:hanging="331"/>
      </w:pPr>
      <w:rPr>
        <w:rFonts w:ascii="Symbol" w:hAnsi="Symbo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5"/>
  </w:num>
  <w:num w:numId="4">
    <w:abstractNumId w:val="8"/>
  </w:num>
  <w:num w:numId="5">
    <w:abstractNumId w:val="2"/>
  </w:num>
  <w:num w:numId="6">
    <w:abstractNumId w:val="20"/>
  </w:num>
  <w:num w:numId="7">
    <w:abstractNumId w:val="9"/>
  </w:num>
  <w:num w:numId="8">
    <w:abstractNumId w:val="24"/>
  </w:num>
  <w:num w:numId="9">
    <w:abstractNumId w:val="7"/>
  </w:num>
  <w:num w:numId="10">
    <w:abstractNumId w:val="17"/>
  </w:num>
  <w:num w:numId="11">
    <w:abstractNumId w:val="19"/>
  </w:num>
  <w:num w:numId="12">
    <w:abstractNumId w:val="18"/>
  </w:num>
  <w:num w:numId="13">
    <w:abstractNumId w:val="4"/>
  </w:num>
  <w:num w:numId="14">
    <w:abstractNumId w:val="11"/>
  </w:num>
  <w:num w:numId="15">
    <w:abstractNumId w:val="23"/>
  </w:num>
  <w:num w:numId="16">
    <w:abstractNumId w:val="10"/>
  </w:num>
  <w:num w:numId="17">
    <w:abstractNumId w:val="1"/>
  </w:num>
  <w:num w:numId="18">
    <w:abstractNumId w:val="0"/>
  </w:num>
  <w:num w:numId="19">
    <w:abstractNumId w:val="13"/>
  </w:num>
  <w:num w:numId="20">
    <w:abstractNumId w:val="14"/>
  </w:num>
  <w:num w:numId="21">
    <w:abstractNumId w:val="5"/>
  </w:num>
  <w:num w:numId="22">
    <w:abstractNumId w:val="22"/>
  </w:num>
  <w:num w:numId="23">
    <w:abstractNumId w:val="16"/>
  </w:num>
  <w:num w:numId="24">
    <w:abstractNumId w:val="6"/>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168E9"/>
    <w:rsid w:val="00031F46"/>
    <w:rsid w:val="00041021"/>
    <w:rsid w:val="0005149F"/>
    <w:rsid w:val="00063DA1"/>
    <w:rsid w:val="000646A7"/>
    <w:rsid w:val="00070159"/>
    <w:rsid w:val="00083027"/>
    <w:rsid w:val="000912E2"/>
    <w:rsid w:val="000B4C15"/>
    <w:rsid w:val="000C173C"/>
    <w:rsid w:val="000C4C76"/>
    <w:rsid w:val="000C6205"/>
    <w:rsid w:val="000C7F23"/>
    <w:rsid w:val="000D78A3"/>
    <w:rsid w:val="000D7D8E"/>
    <w:rsid w:val="000F4A85"/>
    <w:rsid w:val="000F607E"/>
    <w:rsid w:val="00110102"/>
    <w:rsid w:val="00117F6D"/>
    <w:rsid w:val="00135186"/>
    <w:rsid w:val="00142A5B"/>
    <w:rsid w:val="001517E0"/>
    <w:rsid w:val="00160E6F"/>
    <w:rsid w:val="0016105A"/>
    <w:rsid w:val="00182D8D"/>
    <w:rsid w:val="001927CF"/>
    <w:rsid w:val="001B2974"/>
    <w:rsid w:val="001C18FE"/>
    <w:rsid w:val="001C546B"/>
    <w:rsid w:val="001C663C"/>
    <w:rsid w:val="001D20EC"/>
    <w:rsid w:val="001D369F"/>
    <w:rsid w:val="001E1A6F"/>
    <w:rsid w:val="001F5F24"/>
    <w:rsid w:val="0020666E"/>
    <w:rsid w:val="00220334"/>
    <w:rsid w:val="002239AD"/>
    <w:rsid w:val="0026652E"/>
    <w:rsid w:val="00273432"/>
    <w:rsid w:val="00277CB6"/>
    <w:rsid w:val="00282F30"/>
    <w:rsid w:val="00285017"/>
    <w:rsid w:val="002876D9"/>
    <w:rsid w:val="002D3575"/>
    <w:rsid w:val="002E5105"/>
    <w:rsid w:val="002E677B"/>
    <w:rsid w:val="002F27C5"/>
    <w:rsid w:val="002F6AF0"/>
    <w:rsid w:val="003046EF"/>
    <w:rsid w:val="00313268"/>
    <w:rsid w:val="00342AD1"/>
    <w:rsid w:val="00350BA9"/>
    <w:rsid w:val="00354B97"/>
    <w:rsid w:val="00360F98"/>
    <w:rsid w:val="003633B6"/>
    <w:rsid w:val="00363FF4"/>
    <w:rsid w:val="00390248"/>
    <w:rsid w:val="00390B09"/>
    <w:rsid w:val="003A7F56"/>
    <w:rsid w:val="003B6D3B"/>
    <w:rsid w:val="003D7240"/>
    <w:rsid w:val="003E6E7F"/>
    <w:rsid w:val="0040335E"/>
    <w:rsid w:val="004127BF"/>
    <w:rsid w:val="00415D0F"/>
    <w:rsid w:val="0043062E"/>
    <w:rsid w:val="00430F80"/>
    <w:rsid w:val="004408B5"/>
    <w:rsid w:val="004447A1"/>
    <w:rsid w:val="004620BA"/>
    <w:rsid w:val="004729E7"/>
    <w:rsid w:val="00487847"/>
    <w:rsid w:val="004977CD"/>
    <w:rsid w:val="004C0843"/>
    <w:rsid w:val="004C0B2D"/>
    <w:rsid w:val="004C183C"/>
    <w:rsid w:val="004F0876"/>
    <w:rsid w:val="004F0C1B"/>
    <w:rsid w:val="004F3030"/>
    <w:rsid w:val="00534065"/>
    <w:rsid w:val="00562E3A"/>
    <w:rsid w:val="00566C3B"/>
    <w:rsid w:val="00570D50"/>
    <w:rsid w:val="0058000B"/>
    <w:rsid w:val="00583697"/>
    <w:rsid w:val="00585379"/>
    <w:rsid w:val="00595E1B"/>
    <w:rsid w:val="005C4AF8"/>
    <w:rsid w:val="005D60EA"/>
    <w:rsid w:val="005D7D75"/>
    <w:rsid w:val="006016A9"/>
    <w:rsid w:val="006110F7"/>
    <w:rsid w:val="00624A50"/>
    <w:rsid w:val="00644B03"/>
    <w:rsid w:val="006616A7"/>
    <w:rsid w:val="006647A0"/>
    <w:rsid w:val="00691C3D"/>
    <w:rsid w:val="00693D2C"/>
    <w:rsid w:val="00695649"/>
    <w:rsid w:val="006A2A66"/>
    <w:rsid w:val="006C1ED7"/>
    <w:rsid w:val="006C6CD8"/>
    <w:rsid w:val="006D2457"/>
    <w:rsid w:val="006D40B4"/>
    <w:rsid w:val="006D56A3"/>
    <w:rsid w:val="00706453"/>
    <w:rsid w:val="00725DD9"/>
    <w:rsid w:val="00727E01"/>
    <w:rsid w:val="0077397E"/>
    <w:rsid w:val="007B676E"/>
    <w:rsid w:val="007E6BD7"/>
    <w:rsid w:val="007E6D44"/>
    <w:rsid w:val="00827F12"/>
    <w:rsid w:val="008309B0"/>
    <w:rsid w:val="00845670"/>
    <w:rsid w:val="0084734E"/>
    <w:rsid w:val="00852C10"/>
    <w:rsid w:val="00867EC7"/>
    <w:rsid w:val="00870843"/>
    <w:rsid w:val="00892309"/>
    <w:rsid w:val="008B334D"/>
    <w:rsid w:val="008B53A2"/>
    <w:rsid w:val="008B6E1C"/>
    <w:rsid w:val="008D5C0E"/>
    <w:rsid w:val="008F2016"/>
    <w:rsid w:val="008F3B6E"/>
    <w:rsid w:val="0091655D"/>
    <w:rsid w:val="00923D6F"/>
    <w:rsid w:val="00956E62"/>
    <w:rsid w:val="00967903"/>
    <w:rsid w:val="00974624"/>
    <w:rsid w:val="00975AC2"/>
    <w:rsid w:val="0099305C"/>
    <w:rsid w:val="009A2E3C"/>
    <w:rsid w:val="009D19CA"/>
    <w:rsid w:val="009F5F27"/>
    <w:rsid w:val="00A03308"/>
    <w:rsid w:val="00A04FD2"/>
    <w:rsid w:val="00A33FCF"/>
    <w:rsid w:val="00A4483B"/>
    <w:rsid w:val="00A46FA9"/>
    <w:rsid w:val="00A82D45"/>
    <w:rsid w:val="00A87203"/>
    <w:rsid w:val="00AB45BE"/>
    <w:rsid w:val="00AC29C6"/>
    <w:rsid w:val="00AD01AD"/>
    <w:rsid w:val="00AD5418"/>
    <w:rsid w:val="00AF6368"/>
    <w:rsid w:val="00B030F5"/>
    <w:rsid w:val="00B46C76"/>
    <w:rsid w:val="00B63277"/>
    <w:rsid w:val="00B72CD9"/>
    <w:rsid w:val="00B774EA"/>
    <w:rsid w:val="00B931B4"/>
    <w:rsid w:val="00BA6AB8"/>
    <w:rsid w:val="00BA7919"/>
    <w:rsid w:val="00BC40F1"/>
    <w:rsid w:val="00C40728"/>
    <w:rsid w:val="00C73BE2"/>
    <w:rsid w:val="00C75068"/>
    <w:rsid w:val="00C860DD"/>
    <w:rsid w:val="00C97AF7"/>
    <w:rsid w:val="00CA22EA"/>
    <w:rsid w:val="00CB28D3"/>
    <w:rsid w:val="00CB3483"/>
    <w:rsid w:val="00CB55B6"/>
    <w:rsid w:val="00CD4ADA"/>
    <w:rsid w:val="00CF501A"/>
    <w:rsid w:val="00D4347C"/>
    <w:rsid w:val="00D45A9E"/>
    <w:rsid w:val="00D741D2"/>
    <w:rsid w:val="00D77CA4"/>
    <w:rsid w:val="00D93CDA"/>
    <w:rsid w:val="00D943EA"/>
    <w:rsid w:val="00DA0477"/>
    <w:rsid w:val="00DA3C51"/>
    <w:rsid w:val="00DA5803"/>
    <w:rsid w:val="00E2761B"/>
    <w:rsid w:val="00E67C17"/>
    <w:rsid w:val="00E826FB"/>
    <w:rsid w:val="00EB1231"/>
    <w:rsid w:val="00EB26D5"/>
    <w:rsid w:val="00EF01A8"/>
    <w:rsid w:val="00F028D0"/>
    <w:rsid w:val="00F04031"/>
    <w:rsid w:val="00F07B79"/>
    <w:rsid w:val="00F10E07"/>
    <w:rsid w:val="00F23CD4"/>
    <w:rsid w:val="00F30F26"/>
    <w:rsid w:val="00F3794F"/>
    <w:rsid w:val="00F40D24"/>
    <w:rsid w:val="00F57FC5"/>
    <w:rsid w:val="00F75B98"/>
    <w:rsid w:val="00F760E9"/>
    <w:rsid w:val="00FA286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1DFA82C5"/>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309"/>
  </w:style>
  <w:style w:type="paragraph" w:styleId="Heading1">
    <w:name w:val="heading 1"/>
    <w:basedOn w:val="Normal"/>
    <w:next w:val="Normal"/>
    <w:link w:val="Heading1Char"/>
    <w:uiPriority w:val="9"/>
    <w:qFormat/>
    <w:rsid w:val="00773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 w:type="character" w:customStyle="1" w:styleId="Heading1Char">
    <w:name w:val="Heading 1 Char"/>
    <w:basedOn w:val="DefaultParagraphFont"/>
    <w:link w:val="Heading1"/>
    <w:uiPriority w:val="9"/>
    <w:rsid w:val="0077397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1346055720">
      <w:bodyDiv w:val="1"/>
      <w:marLeft w:val="0"/>
      <w:marRight w:val="0"/>
      <w:marTop w:val="0"/>
      <w:marBottom w:val="0"/>
      <w:divBdr>
        <w:top w:val="none" w:sz="0" w:space="0" w:color="auto"/>
        <w:left w:val="none" w:sz="0" w:space="0" w:color="auto"/>
        <w:bottom w:val="none" w:sz="0" w:space="0" w:color="auto"/>
        <w:right w:val="none" w:sz="0" w:space="0" w:color="auto"/>
      </w:divBdr>
    </w:div>
    <w:div w:id="162611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4F6C-B275-4F53-AD74-615D220A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12</cp:revision>
  <cp:lastPrinted>2015-11-18T22:38:00Z</cp:lastPrinted>
  <dcterms:created xsi:type="dcterms:W3CDTF">2015-12-28T18:21:00Z</dcterms:created>
  <dcterms:modified xsi:type="dcterms:W3CDTF">2016-03-04T22:59:00Z</dcterms:modified>
</cp:coreProperties>
</file>