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rFonts w:ascii="Aptos Display" w:hAnsi="Aptos Display"/>
          <w:b/>
          <w:color w:val="17365D"/>
          <w:sz w:val="40"/>
        </w:rPr>
        <w:t>CA1 Scenario 13: Small Business Shared Workspace Service</w:t>
      </w:r>
    </w:p>
    <w:p>
      <w:pPr>
        <w:spacing w:after="140"/>
        <w:jc w:val="center"/>
      </w:pPr>
      <w:r>
        <w:rPr>
          <w:b/>
          <w:color w:val="008A84"/>
          <w:sz w:val="19"/>
        </w:rPr>
        <w:t>Scenario CA1-13-SBSWS  |  Tralee Enterprise Workspace</w:t>
      </w:r>
    </w:p>
    <w:tbl>
      <w:tblPr>
        <w:tblStyle w:val="TableGrid"/>
        <w:tblW w:type="auto" w:w="0"/>
        <w:tblLook w:firstColumn="1" w:firstRow="1" w:lastColumn="0" w:lastRow="0" w:noHBand="0" w:noVBand="1" w:val="04A0"/>
      </w:tblPr>
      <w:tblGrid>
        <w:gridCol w:w="9866"/>
      </w:tblGrid>
      <w:tr>
        <w:tc>
          <w:tcPr>
            <w:tcW w:type="dxa" w:w="9866"/>
            <w:shd w:fill="EAF2F8"/>
            <w:tcMar>
              <w:top w:w="150" w:type="dxa"/>
              <w:start w:w="150" w:type="dxa"/>
              <w:bottom w:w="150" w:type="dxa"/>
              <w:end w:w="150" w:type="dxa"/>
            </w:tcMar>
          </w:tcPr>
          <w:p>
            <w:pPr>
              <w:spacing w:after="0"/>
            </w:pPr>
            <w:r>
              <w:rPr>
                <w:b/>
                <w:color w:val="17365D"/>
              </w:rPr>
              <w:t xml:space="preserve">How to use this scenario  </w:t>
            </w:r>
            <w:r>
              <w:t>This document provides the case evidence for your assigned CA1 analysis. Complete the work and submission described in the main CA1 specification. Where the evidence is incomplete or inconsistent, identify the uncertainty rather than inventing a confirmed policy.</w:t>
            </w:r>
          </w:p>
        </w:tc>
      </w:tr>
    </w:tbl>
    <w:p>
      <w:pPr>
        <w:pStyle w:val="Heading2"/>
      </w:pPr>
      <w:r>
        <w:t>Organisation and current service</w:t>
      </w:r>
    </w:p>
    <w:p>
      <w:r>
        <w:t>Tralee Enterprise Workspace provides hot desks, dedicated desks, meeting rooms, small project rooms and shared equipment for start-ups, remote workers and visiting organisations. Members use different access plans, while occasional visitors may book selected resources.</w:t>
      </w:r>
    </w:p>
    <w:p>
      <w:r>
        <w:t>Membership records, bookings, access codes and equipment issues are managed through spreadsheets, calendars and email. Staff want to reduce conflicting reservations and provide clearer information about access, capacity and service availability.</w:t>
      </w:r>
    </w:p>
    <w:p>
      <w:pPr>
        <w:pStyle w:val="Heading2"/>
      </w:pPr>
      <w:r>
        <w:t>Members, plans and access</w:t>
      </w:r>
    </w:p>
    <w:p>
      <w:r>
        <w:t>A member may be an individual or linked to an organisation. Plans differ in included desk hours, meeting-room allowance, access times, guest privileges and use of specialist equipment. Exceptions are sometimes agreed by the workspace manager but not documented consistently.</w:t>
      </w:r>
    </w:p>
    <w:p>
      <w:r>
        <w:t>New members receive an induction and access arrangements. Certain rooms or equipment require additional orientation. A membership may be active, suspended, awaiting renewal or ending, but the booking calendar may still contain future reservations.</w:t>
      </w:r>
    </w:p>
    <w:p>
      <w:r>
        <w:t>Visitors and guests need temporary access without seeing member information. Staff are uncertain whether the member, receptionist or manager should approve different types of guest visit.</w:t>
      </w:r>
    </w:p>
    <w:p>
      <w:pPr>
        <w:pStyle w:val="Heading2"/>
      </w:pPr>
      <w:r>
        <w:t>Resources and bookings</w:t>
      </w:r>
    </w:p>
    <w:p>
      <w:r>
        <w:t>A booking may cover a desk, room, equipment or a combination. Rooms have capacity, layout, accessibility and equipment information. A room can be available while required video-conferencing equipment is reserved elsewhere or awaiting repair.</w:t>
      </w:r>
    </w:p>
    <w:p>
      <w:r>
        <w:t>Bookings may be single, recurring or provisional. Some organisations reserve a regular room before confirming all dates. Staff disagree how long provisional bookings should block others.</w:t>
      </w:r>
    </w:p>
    <w:p>
      <w:r>
        <w:t>Members may request changes, additional time or a different room. An extension should not affect a later confirmed booking. Repeated no-shows reduce availability, but consequences differ between plans.</w:t>
      </w:r>
    </w:p>
    <w:p>
      <w:pPr>
        <w:pStyle w:val="Heading2"/>
      </w:pPr>
      <w:r>
        <w:t>Daily operation and service issues</w:t>
      </w:r>
    </w:p>
    <w:p>
      <w:r>
        <w:t>Members check in through reception or an access system. A person may arrive without a visible booking, bring an unexpected guest or use a different free desk. Staff sometimes allow this and update the record later.</w:t>
      </w:r>
    </w:p>
    <w:p>
      <w:r>
        <w:t>Faults include unavailable internet, damaged furniture, missing cables and inaccessible rooms. A fault may affect one resource, several bookings or the entire site. Staff need to know whether a resource remains usable with a limitation.</w:t>
      </w:r>
    </w:p>
    <w:p>
      <w:r>
        <w:t>Maintenance and community events may close part of the workspace. Bookings may be relocated, shortened or cancelled. Messages currently differ between email, signs and direct calls.</w:t>
      </w:r>
    </w:p>
    <w:p>
      <w:pPr>
        <w:pStyle w:val="Heading2"/>
      </w:pPr>
      <w:r>
        <w:t>Charges, usage and information</w:t>
      </w:r>
    </w:p>
    <w:p>
      <w:r>
        <w:t>Some bookings are included in a plan, while excess usage, visitor access or specialist equipment may create charges. Staff need reliable usage information, but detailed invoicing remains in the accounting system.</w:t>
      </w:r>
    </w:p>
    <w:p>
      <w:r>
        <w:t>The workspace manager needs views of occupancy, recurring conflicts, provisional bookings, no-shows, faults and resources removed from service. Members should see their own bookings and public resource information, not other organisations’ activity.</w:t>
      </w:r>
    </w:p>
    <w:p>
      <w:r>
        <w:t>Reception staff, facilities staff and temporary cover staff require different access. Internet service can fail even when the local booking record is needed. Website management, accounting and building-access hardware replacement are outside scope.</w:t>
      </w:r>
    </w:p>
    <w:p>
      <w:pPr>
        <w:pStyle w:val="Heading2"/>
      </w:pPr>
      <w:r>
        <w:t>Stakeholder evidence</w:t>
      </w:r>
    </w:p>
    <w:p>
      <w:pPr>
        <w:pStyle w:val="ListBullet"/>
        <w:spacing w:after="40"/>
      </w:pPr>
      <w:r>
        <w:t>Workspace manager: “A free room is not useful if the equipment the member requested is unavailable.”</w:t>
      </w:r>
    </w:p>
    <w:p>
      <w:pPr>
        <w:pStyle w:val="ListBullet"/>
        <w:spacing w:after="40"/>
      </w:pPr>
      <w:r>
        <w:t>Member: “I need to know whether a booking is confirmed or only being held temporarily.”</w:t>
      </w:r>
    </w:p>
    <w:p>
      <w:pPr>
        <w:pStyle w:val="ListBullet"/>
        <w:spacing w:after="40"/>
      </w:pPr>
      <w:r>
        <w:t>Receptionist: “People move to another desk and tell us later, so occupancy is not always accurate.”</w:t>
      </w:r>
    </w:p>
    <w:p>
      <w:pPr>
        <w:pStyle w:val="ListBullet"/>
        <w:spacing w:after="40"/>
      </w:pPr>
      <w:r>
        <w:t>Facilities staff member: “A fault may limit a room without making the whole room unusable.”</w:t>
      </w:r>
    </w:p>
    <w:p>
      <w:pPr>
        <w:pStyle w:val="ListBullet"/>
        <w:spacing w:after="40"/>
      </w:pPr>
      <w:r>
        <w:t>Organisation administrator: “Our recurring booking changes during holidays, but old dates remain in the calendar.”</w:t>
      </w:r>
    </w:p>
    <w:p>
      <w:pPr>
        <w:pStyle w:val="ListBullet"/>
        <w:spacing w:after="40"/>
      </w:pPr>
      <w:r>
        <w:t>Temporary staff member: “I need to handle arrivals without seeing every member’s commercial information.”</w:t>
      </w:r>
    </w:p>
    <w:p>
      <w:pPr>
        <w:pStyle w:val="Heading2"/>
      </w:pPr>
      <w:r>
        <w:t>Unresolved matters</w:t>
      </w:r>
    </w:p>
    <w:p>
      <w:r>
        <w:t>The scenario does not confirm every policy or decision. Clarification may be required about:</w:t>
      </w:r>
    </w:p>
    <w:p>
      <w:pPr>
        <w:pStyle w:val="ListBullet"/>
        <w:spacing w:after="40"/>
      </w:pPr>
      <w:r>
        <w:t>which plan rules may be overridden and who may approve exceptions;</w:t>
      </w:r>
    </w:p>
    <w:p>
      <w:pPr>
        <w:pStyle w:val="ListBullet"/>
        <w:spacing w:after="40"/>
      </w:pPr>
      <w:r>
        <w:t>how long provisional and recurring bookings reserve resources;</w:t>
      </w:r>
    </w:p>
    <w:p>
      <w:pPr>
        <w:pStyle w:val="ListBullet"/>
        <w:spacing w:after="40"/>
      </w:pPr>
      <w:r>
        <w:t>how future bookings should be treated when membership is suspended or ends;</w:t>
      </w:r>
    </w:p>
    <w:p>
      <w:pPr>
        <w:pStyle w:val="ListBullet"/>
        <w:spacing w:after="40"/>
      </w:pPr>
      <w:r>
        <w:t>who may approve guests and temporary access;</w:t>
      </w:r>
    </w:p>
    <w:p>
      <w:pPr>
        <w:pStyle w:val="ListBullet"/>
        <w:spacing w:after="40"/>
      </w:pPr>
      <w:r>
        <w:t>how no-shows and unrecorded resource changes should affect usage;</w:t>
      </w:r>
    </w:p>
    <w:p>
      <w:pPr>
        <w:pStyle w:val="ListBullet"/>
        <w:spacing w:after="40"/>
      </w:pPr>
      <w:r>
        <w:t>when a partially usable resource may continue to be booked;</w:t>
      </w:r>
    </w:p>
    <w:p>
      <w:pPr>
        <w:pStyle w:val="ListBullet"/>
        <w:spacing w:after="40"/>
      </w:pPr>
      <w:r>
        <w:t>which booking, membership and charge information each staff role may see.</w:t>
      </w:r>
    </w:p>
    <w:tbl>
      <w:tblPr>
        <w:tblStyle w:val="TableGrid"/>
        <w:tblW w:type="auto" w:w="0"/>
        <w:tblLook w:firstColumn="1" w:firstRow="1" w:lastColumn="0" w:lastRow="0" w:noHBand="0" w:noVBand="1" w:val="04A0"/>
      </w:tblPr>
      <w:tblGrid>
        <w:gridCol w:w="9866"/>
      </w:tblGrid>
      <w:tr>
        <w:tc>
          <w:tcPr>
            <w:tcW w:type="dxa" w:w="9866"/>
            <w:shd w:fill="E8F5F3"/>
            <w:tcMar>
              <w:top w:w="150" w:type="dxa"/>
              <w:start w:w="150" w:type="dxa"/>
              <w:bottom w:w="150" w:type="dxa"/>
              <w:end w:w="150" w:type="dxa"/>
            </w:tcMar>
          </w:tcPr>
          <w:p>
            <w:r>
              <w:rPr>
                <w:b/>
                <w:color w:val="17365D"/>
              </w:rPr>
              <w:t xml:space="preserve">Important  </w:t>
            </w:r>
            <w:r>
              <w:t>Use scenario evidence, state any temporary assumption clearly, and identify questions or risks where stakeholder confirmation is required.</w:t>
            </w:r>
          </w:p>
        </w:tc>
      </w:tr>
    </w:tbl>
    <w:sectPr w:rsidR="00FC693F" w:rsidRPr="0006063C" w:rsidSect="00034616">
      <w:headerReference w:type="default" r:id="rId9"/>
      <w:footerReference w:type="default" r:id="rId10"/>
      <w:pgSz w:w="11906" w:h="16838"/>
      <w:pgMar w:top="850" w:right="1020" w:bottom="794"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Scenario 13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008A84"/>
        <w:sz w:val="16"/>
      </w:rPr>
      <w:t>SAAD71000  |  CA1 Scenario 13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0" w:lineRule="auto"/>
    </w:pPr>
    <w:rPr>
      <w:rFonts w:ascii="Aptos" w:hAnsi="Aptos"/>
      <w:color w:val="243447"/>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20" w:after="60"/>
      <w:outlineLvl w:val="0"/>
    </w:pPr>
    <w:rPr>
      <w:rFonts w:asciiTheme="majorHAnsi" w:eastAsiaTheme="majorEastAsia" w:hAnsiTheme="majorHAnsi" w:cstheme="majorBidi" w:ascii="Aptos Display" w:hAnsi="Aptos Display"/>
      <w:b/>
      <w:bCs/>
      <w:color w:val="17365D"/>
      <w:sz w:val="30"/>
      <w:szCs w:val="28"/>
    </w:rPr>
  </w:style>
  <w:style w:type="paragraph" w:styleId="Heading2">
    <w:name w:val="heading 2"/>
    <w:basedOn w:val="Normal"/>
    <w:next w:val="Normal"/>
    <w:link w:val="Heading2Char"/>
    <w:uiPriority w:val="9"/>
    <w:unhideWhenUsed/>
    <w:qFormat/>
    <w:rsid w:val="00FC693F"/>
    <w:pPr>
      <w:keepNext/>
      <w:keepLines/>
      <w:spacing w:before="120" w:after="60"/>
      <w:outlineLvl w:val="1"/>
    </w:pPr>
    <w:rPr>
      <w:rFonts w:asciiTheme="majorHAnsi" w:eastAsiaTheme="majorEastAsia" w:hAnsiTheme="majorHAnsi" w:cstheme="majorBidi" w:ascii="Aptos Display" w:hAnsi="Aptos Display"/>
      <w:b/>
      <w:bCs/>
      <w:color w:val="008A84"/>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Andrew Shields</dc:creator>
  <keywords/>
  <dc:description>generated by python-docx</dc:description>
  <lastModifiedBy>Andrew Shields</lastModifiedBy>
  <revision>1</revision>
  <dcterms:created xsi:type="dcterms:W3CDTF">2026-10-02T21:19:08.5077695Z</dcterms:created>
  <dcterms:modified xsi:type="dcterms:W3CDTF">2026-10-02T21:19:08.5077695Z</dcterms:modified>
  <category/>
</coreProperties>
</file>