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16106" w14:textId="23340E0A" w:rsidR="00DC2EF8" w:rsidRPr="009F5CF9" w:rsidRDefault="00DC2EF8" w:rsidP="00DC2EF8">
      <w:pPr>
        <w:spacing w:after="0"/>
        <w:rPr>
          <w:rFonts w:cs="Times New Roman"/>
          <w:szCs w:val="24"/>
        </w:rPr>
      </w:pPr>
    </w:p>
    <w:p w14:paraId="1D141DFD" w14:textId="77777777" w:rsidR="00DC2EF8" w:rsidRDefault="00DC2EF8" w:rsidP="00DC2EF8">
      <w:pPr>
        <w:pStyle w:val="Heading3"/>
        <w:numPr>
          <w:ilvl w:val="2"/>
          <w:numId w:val="0"/>
        </w:numPr>
        <w:spacing w:before="120" w:after="120"/>
        <w:ind w:left="720" w:hanging="720"/>
      </w:pPr>
      <w:bookmarkStart w:id="0" w:name="_Toc237781358"/>
      <w:r>
        <w:t>Approach to Project Management [PWS 5.1]</w:t>
      </w:r>
      <w:bookmarkEnd w:id="0"/>
    </w:p>
    <w:p w14:paraId="27CF41A9" w14:textId="77777777" w:rsidR="00DC2EF8" w:rsidRDefault="00DC2EF8" w:rsidP="00DC2EF8">
      <w:r>
        <w:t>Or approach to Project Management has been proven in the successful delivery of multiple projects of similar size and scope within the federal market. Details of our specific approach that complies with the delivery dates for deliverables specified in the schedule can be found in Section 3.1 below.</w:t>
      </w:r>
    </w:p>
    <w:p w14:paraId="5516C690" w14:textId="77777777" w:rsidR="00DC2EF8" w:rsidRDefault="00DC2EF8" w:rsidP="00DC2EF8">
      <w:pPr>
        <w:pStyle w:val="Heading3"/>
        <w:numPr>
          <w:ilvl w:val="2"/>
          <w:numId w:val="0"/>
        </w:numPr>
        <w:spacing w:before="120" w:after="120"/>
        <w:ind w:left="720" w:hanging="720"/>
      </w:pPr>
      <w:bookmarkStart w:id="1" w:name="_Toc237781359"/>
      <w:r>
        <w:t>Approach to the Processing and Administration of FOIA Requests [PWS 5.2]</w:t>
      </w:r>
      <w:bookmarkEnd w:id="1"/>
    </w:p>
    <w:p w14:paraId="65CC57CE" w14:textId="39FB05BF" w:rsidR="00DC2EF8" w:rsidRDefault="00DC2EF8" w:rsidP="00DC2EF8">
      <w:r>
        <w:t xml:space="preserve">Our Team’s FOIA processing approach is based on the application of proven Standard Operating Procedures (SOP) tailored to existing processes. </w:t>
      </w:r>
    </w:p>
    <w:p w14:paraId="6B515D57" w14:textId="77777777" w:rsidR="00DC2EF8" w:rsidRDefault="00DC2EF8" w:rsidP="00DC2EF8">
      <w:r>
        <w:t xml:space="preserve">Our FOIA process SME and FOIA Analyst will: </w:t>
      </w:r>
    </w:p>
    <w:p w14:paraId="2B76B4D7" w14:textId="77777777" w:rsidR="00DC2EF8" w:rsidRDefault="00DC2EF8" w:rsidP="00DC2EF8">
      <w:pPr>
        <w:pStyle w:val="Bullet"/>
        <w:spacing w:before="0" w:after="0"/>
        <w:jc w:val="left"/>
      </w:pPr>
      <w:r>
        <w:t xml:space="preserve">Review existing SOPs to understand their overall intent and clarify what could be changed/remain the same. </w:t>
      </w:r>
    </w:p>
    <w:p w14:paraId="040454AE" w14:textId="77777777" w:rsidR="00DC2EF8" w:rsidRDefault="00DC2EF8" w:rsidP="00DC2EF8">
      <w:pPr>
        <w:pStyle w:val="Bullet"/>
        <w:spacing w:before="0" w:after="0"/>
        <w:jc w:val="left"/>
      </w:pPr>
      <w:r>
        <w:t xml:space="preserve">Develop proposed SOPs that reflect the work requirements developed in interviews with appropriate Department managers/staff.  </w:t>
      </w:r>
    </w:p>
    <w:p w14:paraId="35315002" w14:textId="77777777" w:rsidR="00DC2EF8" w:rsidRDefault="00DC2EF8" w:rsidP="00DC2EF8">
      <w:pPr>
        <w:pStyle w:val="Bullet"/>
        <w:spacing w:before="0" w:after="0"/>
        <w:jc w:val="left"/>
      </w:pPr>
      <w:r>
        <w:t xml:space="preserve">Develop proposed SOPs that provide an aggressive/achievable schedule and a sound process for transitioning from previous arrangements to that required by the PWS. </w:t>
      </w:r>
    </w:p>
    <w:p w14:paraId="3FD72A6D" w14:textId="77777777" w:rsidR="00DC2EF8" w:rsidRDefault="00DC2EF8" w:rsidP="00DC2EF8">
      <w:pPr>
        <w:pStyle w:val="Bullet"/>
      </w:pPr>
      <w:r>
        <w:t>Use knowledge of the VA, FOIA, and SOPs from other Federal agencies, developed for similar tasks, as well as industry best practices, to provide practical, cost-effective processes to ensure adequate staffing. All proposed SOPs will contain performance standards/metrics to provide the PWS services required.</w:t>
      </w:r>
    </w:p>
    <w:p w14:paraId="3C837F4D" w14:textId="77777777" w:rsidR="00DC2EF8" w:rsidRDefault="00DC2EF8" w:rsidP="00DC2EF8">
      <w:pPr>
        <w:pStyle w:val="Bullet"/>
      </w:pPr>
      <w:r>
        <w:t xml:space="preserve">Work with the Department to develop a management process for rewriting/updating/implementing SOPs. </w:t>
      </w:r>
    </w:p>
    <w:p w14:paraId="1BB76F70" w14:textId="77777777" w:rsidR="00DC2EF8" w:rsidRDefault="00DC2EF8" w:rsidP="00DC2EF8">
      <w:pPr>
        <w:pStyle w:val="Bullet"/>
        <w:spacing w:before="0" w:after="0"/>
        <w:jc w:val="left"/>
      </w:pPr>
      <w:r>
        <w:t xml:space="preserve">Train all employees in the best practices of using </w:t>
      </w:r>
      <w:proofErr w:type="spellStart"/>
      <w:r>
        <w:t>FOIAXpress</w:t>
      </w:r>
      <w:proofErr w:type="spellEnd"/>
      <w:r>
        <w:t xml:space="preserve"> to process requests. </w:t>
      </w:r>
    </w:p>
    <w:p w14:paraId="673AD395" w14:textId="77777777" w:rsidR="00DC2EF8" w:rsidRDefault="00DC2EF8" w:rsidP="00DC2EF8">
      <w:r>
        <w:t>Specific tasks required to process and administer FOIA requests include:</w:t>
      </w:r>
    </w:p>
    <w:p w14:paraId="56D3E84C" w14:textId="77777777" w:rsidR="00DC2EF8" w:rsidRDefault="00DC2EF8" w:rsidP="00DC2EF8">
      <w:pPr>
        <w:pStyle w:val="Bullet"/>
        <w:spacing w:before="0" w:after="0"/>
        <w:jc w:val="left"/>
      </w:pPr>
      <w:r>
        <w:t>Receive FOIA requests via the VA web site, email, mail or fax</w:t>
      </w:r>
    </w:p>
    <w:p w14:paraId="1A839E67" w14:textId="77777777" w:rsidR="00DC2EF8" w:rsidRDefault="00DC2EF8" w:rsidP="00DC2EF8">
      <w:pPr>
        <w:pStyle w:val="Bullet"/>
        <w:spacing w:before="0" w:after="0"/>
        <w:jc w:val="left"/>
      </w:pPr>
      <w:r>
        <w:t xml:space="preserve">Utilize the </w:t>
      </w:r>
      <w:proofErr w:type="spellStart"/>
      <w:r>
        <w:t>FOIAXpress</w:t>
      </w:r>
      <w:proofErr w:type="spellEnd"/>
      <w:r>
        <w:t xml:space="preserve"> tool to assign each request to an available FOIA Analyst</w:t>
      </w:r>
    </w:p>
    <w:p w14:paraId="46609362" w14:textId="77777777" w:rsidR="00DC2EF8" w:rsidRDefault="00DC2EF8" w:rsidP="00DC2EF8">
      <w:pPr>
        <w:pStyle w:val="Bullet"/>
        <w:spacing w:before="0" w:after="0"/>
        <w:jc w:val="left"/>
      </w:pPr>
      <w:r>
        <w:t xml:space="preserve">The analyst will read and interpret the request, determine the subject matter, and assign it to the correct reviewer utilizing the </w:t>
      </w:r>
      <w:proofErr w:type="spellStart"/>
      <w:r>
        <w:t>FOIAXpress</w:t>
      </w:r>
      <w:proofErr w:type="spellEnd"/>
      <w:r>
        <w:t xml:space="preserve"> workflow tool</w:t>
      </w:r>
    </w:p>
    <w:p w14:paraId="0202F8C3" w14:textId="77777777" w:rsidR="00DC2EF8" w:rsidRDefault="00DC2EF8" w:rsidP="00DC2EF8">
      <w:pPr>
        <w:pStyle w:val="Bullet"/>
        <w:spacing w:before="0" w:after="0"/>
        <w:jc w:val="left"/>
      </w:pPr>
      <w:r>
        <w:t>Maintain detailed case notes</w:t>
      </w:r>
    </w:p>
    <w:p w14:paraId="470E025E" w14:textId="77777777" w:rsidR="00DC2EF8" w:rsidRDefault="00DC2EF8" w:rsidP="00DC2EF8">
      <w:pPr>
        <w:pStyle w:val="Bullet"/>
        <w:spacing w:before="0" w:after="0"/>
        <w:jc w:val="left"/>
      </w:pPr>
      <w:r>
        <w:t xml:space="preserve">Prepare draft responses, utilizing templates held in the </w:t>
      </w:r>
      <w:proofErr w:type="spellStart"/>
      <w:r>
        <w:t>FOIAXpress</w:t>
      </w:r>
      <w:proofErr w:type="spellEnd"/>
      <w:r>
        <w:t xml:space="preserve"> tool</w:t>
      </w:r>
    </w:p>
    <w:p w14:paraId="7F7DAC75" w14:textId="77777777" w:rsidR="00DC2EF8" w:rsidRDefault="00DC2EF8" w:rsidP="00DC2EF8">
      <w:pPr>
        <w:pStyle w:val="Bullet"/>
        <w:spacing w:before="0" w:after="0"/>
        <w:jc w:val="left"/>
      </w:pPr>
      <w:r>
        <w:t>Submit drafts to, and take work assignments from the VA FOIA lead as required</w:t>
      </w:r>
    </w:p>
    <w:p w14:paraId="134E1352" w14:textId="77777777" w:rsidR="00DC2EF8" w:rsidRDefault="00DC2EF8" w:rsidP="00DC2EF8">
      <w:pPr>
        <w:pStyle w:val="Bullet"/>
        <w:spacing w:before="0" w:after="0"/>
        <w:jc w:val="left"/>
      </w:pPr>
      <w:r>
        <w:t>Interact with VA staff to make required changes</w:t>
      </w:r>
    </w:p>
    <w:p w14:paraId="3547EC5C" w14:textId="77777777" w:rsidR="00DC2EF8" w:rsidRDefault="00DC2EF8" w:rsidP="00DC2EF8">
      <w:pPr>
        <w:pStyle w:val="Bullet"/>
        <w:spacing w:before="0" w:after="0"/>
        <w:jc w:val="left"/>
      </w:pPr>
      <w:r>
        <w:t>Interact with the requestor when necessary (only when approved by VA FOIA staff</w:t>
      </w:r>
    </w:p>
    <w:p w14:paraId="23434869" w14:textId="77777777" w:rsidR="00DC2EF8" w:rsidRDefault="00DC2EF8" w:rsidP="00DC2EF8">
      <w:pPr>
        <w:pStyle w:val="Bullet"/>
        <w:spacing w:before="0" w:after="0"/>
        <w:jc w:val="left"/>
      </w:pPr>
      <w:r>
        <w:t xml:space="preserve">Complete memo, cost recovery sheet, and correspondence log.  </w:t>
      </w:r>
    </w:p>
    <w:p w14:paraId="673DA674" w14:textId="77777777" w:rsidR="00DC2EF8" w:rsidRDefault="00DC2EF8" w:rsidP="00DC2EF8">
      <w:pPr>
        <w:pStyle w:val="Bullet"/>
        <w:spacing w:before="0" w:after="0"/>
        <w:jc w:val="left"/>
      </w:pPr>
      <w:r>
        <w:t xml:space="preserve">Load redacted documents.  </w:t>
      </w:r>
    </w:p>
    <w:p w14:paraId="4327A6D4" w14:textId="77777777" w:rsidR="00DC2EF8" w:rsidRDefault="00DC2EF8" w:rsidP="00DC2EF8">
      <w:pPr>
        <w:pStyle w:val="Bullet"/>
        <w:spacing w:before="0" w:after="0"/>
        <w:jc w:val="left"/>
      </w:pPr>
      <w:r>
        <w:t>Submit to the government representative for final review.</w:t>
      </w:r>
    </w:p>
    <w:p w14:paraId="6337E210" w14:textId="54A6CE8F" w:rsidR="00DC2EF8" w:rsidRDefault="00DC2EF8" w:rsidP="00DC2EF8">
      <w:r>
        <w:rPr>
          <w:noProof/>
        </w:rPr>
        <mc:AlternateContent>
          <mc:Choice Requires="wps">
            <w:drawing>
              <wp:anchor distT="0" distB="0" distL="114300" distR="114300" simplePos="0" relativeHeight="251659264" behindDoc="1" locked="0" layoutInCell="1" allowOverlap="1" wp14:anchorId="466338CA" wp14:editId="678675F2">
                <wp:simplePos x="0" y="0"/>
                <wp:positionH relativeFrom="column">
                  <wp:posOffset>4019550</wp:posOffset>
                </wp:positionH>
                <wp:positionV relativeFrom="paragraph">
                  <wp:posOffset>902335</wp:posOffset>
                </wp:positionV>
                <wp:extent cx="1906270" cy="518795"/>
                <wp:effectExtent l="0" t="0" r="36830" b="52705"/>
                <wp:wrapTight wrapText="bothSides">
                  <wp:wrapPolygon edited="0">
                    <wp:start x="0" y="0"/>
                    <wp:lineTo x="0" y="23001"/>
                    <wp:lineTo x="21801" y="23001"/>
                    <wp:lineTo x="21801" y="0"/>
                    <wp:lineTo x="0" y="0"/>
                  </wp:wrapPolygon>
                </wp:wrapTight>
                <wp:docPr id="682"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270" cy="518795"/>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14:paraId="323D8A4E" w14:textId="77777777" w:rsidR="00DC2EF8" w:rsidRDefault="00DC2EF8" w:rsidP="00DC2EF8">
                            <w:pPr>
                              <w:rPr>
                                <w:b/>
                              </w:rPr>
                            </w:pPr>
                            <w:r>
                              <w:rPr>
                                <w:rFonts w:cs="Times New Roman"/>
                                <w:b/>
                              </w:rPr>
                              <w:t xml:space="preserve">Our Key Personnel are experts in </w:t>
                            </w:r>
                            <w:proofErr w:type="spellStart"/>
                            <w:r>
                              <w:rPr>
                                <w:rFonts w:cs="Times New Roman"/>
                                <w:b/>
                              </w:rPr>
                              <w:t>FOIAXpress</w:t>
                            </w:r>
                            <w:proofErr w:type="spellEnd"/>
                            <w:r>
                              <w:rPr>
                                <w:rFonts w:cs="Times New Roman"/>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338CA" id="_x0000_t202" coordsize="21600,21600" o:spt="202" path="m,l,21600r21600,l21600,xe">
                <v:stroke joinstyle="miter"/>
                <v:path gradientshapeok="t" o:connecttype="rect"/>
              </v:shapetype>
              <v:shape id="Text Box 682" o:spid="_x0000_s1026" type="#_x0000_t202" style="position:absolute;left:0;text-align:left;margin-left:316.5pt;margin-top:71.05pt;width:150.1pt;height:4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" fillcolor="#8eaadb [1940]" strokecolor="#8eaadb [1940]" strokeweight="1pt">
                <v:fill color2="#d9e2f3 [660]" angle="135" focus="50%" type="gradient"/>
                <v:shadow on="t" color="#1f3763 [1604]" opacity=".5" offset="1pt"/>
                <v:textbox>
                  <w:txbxContent>
                    <w:p w14:paraId="323D8A4E" w14:textId="77777777" w:rsidR="00DC2EF8" w:rsidRDefault="00DC2EF8" w:rsidP="00DC2EF8">
                      <w:pPr>
                        <w:rPr>
                          <w:b/>
                        </w:rPr>
                      </w:pPr>
                      <w:r>
                        <w:rPr>
                          <w:rFonts w:cs="Times New Roman"/>
                          <w:b/>
                        </w:rPr>
                        <w:t xml:space="preserve">Our Key Personnel are experts in </w:t>
                      </w:r>
                      <w:proofErr w:type="spellStart"/>
                      <w:r>
                        <w:rPr>
                          <w:rFonts w:cs="Times New Roman"/>
                          <w:b/>
                        </w:rPr>
                        <w:t>FOIAXpress</w:t>
                      </w:r>
                      <w:proofErr w:type="spellEnd"/>
                      <w:r>
                        <w:rPr>
                          <w:rFonts w:cs="Times New Roman"/>
                          <w:b/>
                        </w:rPr>
                        <w:t xml:space="preserve"> </w:t>
                      </w:r>
                    </w:p>
                  </w:txbxContent>
                </v:textbox>
                <w10:wrap type="tight"/>
              </v:shape>
            </w:pict>
          </mc:Fallback>
        </mc:AlternateContent>
      </w:r>
      <w:r>
        <w:rPr>
          <w:b/>
        </w:rPr>
        <w:t xml:space="preserve">Technical Support (Tracking, Reporting and </w:t>
      </w:r>
      <w:proofErr w:type="gramStart"/>
      <w:r>
        <w:rPr>
          <w:b/>
        </w:rPr>
        <w:t>Redacting)(</w:t>
      </w:r>
      <w:proofErr w:type="gramEnd"/>
      <w:r>
        <w:rPr>
          <w:b/>
        </w:rPr>
        <w:t xml:space="preserve">PWS reference) - </w:t>
      </w:r>
      <w:r>
        <w:t xml:space="preserve">The proposed </w:t>
      </w:r>
      <w:r>
        <w:t>Deceris</w:t>
      </w:r>
      <w:r>
        <w:t xml:space="preserve"> Team is well-versed in all aspects of FOIA processing and will use this experience and </w:t>
      </w:r>
      <w:proofErr w:type="spellStart"/>
      <w:r>
        <w:t>FOIAXpress</w:t>
      </w:r>
      <w:proofErr w:type="spellEnd"/>
      <w:r>
        <w:t xml:space="preserve"> to correctly redact documents for all applicable FOIA exemptions, prepare final response letters, and deliver responsive documents to requesters. Our staff members are experts in FOIA legislation, policies, guidance and regulations and the majority of our staff members are experts in the </w:t>
      </w:r>
      <w:proofErr w:type="spellStart"/>
      <w:r>
        <w:t>FOIAXpress</w:t>
      </w:r>
      <w:proofErr w:type="spellEnd"/>
      <w:r>
        <w:t xml:space="preserve"> system. </w:t>
      </w:r>
    </w:p>
    <w:p w14:paraId="71E871DA" w14:textId="77777777" w:rsidR="00DC2EF8" w:rsidRDefault="00DC2EF8" w:rsidP="00DC2EF8">
      <w:r>
        <w:lastRenderedPageBreak/>
        <w:t xml:space="preserve">If it is determined that any staff member requires additional </w:t>
      </w:r>
      <w:proofErr w:type="spellStart"/>
      <w:r>
        <w:t>FOIAXpress</w:t>
      </w:r>
      <w:proofErr w:type="spellEnd"/>
      <w:r>
        <w:t xml:space="preserve"> training, it be </w:t>
      </w:r>
      <w:proofErr w:type="spellStart"/>
      <w:r>
        <w:t>be</w:t>
      </w:r>
      <w:proofErr w:type="spellEnd"/>
      <w:r>
        <w:t xml:space="preserve"> provided by our </w:t>
      </w:r>
      <w:proofErr w:type="spellStart"/>
      <w:r>
        <w:t>FOIAXpress</w:t>
      </w:r>
      <w:proofErr w:type="spellEnd"/>
      <w:r>
        <w:t xml:space="preserve"> SME. Training includes training on every step of the FOIA process from request receipt to delivery of responsive documents. Our proposed training will leverage our most knowledgeable SME’s extensive experience to spot-train supporting FOIA staff in the correct use of the software. A FOIA Public Liaison is assigned to each FOIA request.  Tracking is also monitored through various reports.  Additional information on reporting and tracking can be found in Section 3.1.2 below.</w:t>
      </w:r>
    </w:p>
    <w:p w14:paraId="7D64A390" w14:textId="77777777" w:rsidR="00DC2EF8" w:rsidRDefault="00DC2EF8" w:rsidP="00DC2EF8">
      <w:pPr>
        <w:pStyle w:val="Heading3"/>
        <w:numPr>
          <w:ilvl w:val="2"/>
          <w:numId w:val="0"/>
        </w:numPr>
        <w:spacing w:before="120" w:after="120"/>
        <w:ind w:left="720" w:hanging="720"/>
      </w:pPr>
      <w:bookmarkStart w:id="2" w:name="_Toc237781360"/>
      <w:r>
        <w:t xml:space="preserve">Approach to Backlog </w:t>
      </w:r>
      <w:proofErr w:type="gramStart"/>
      <w:r>
        <w:t>Reduction</w:t>
      </w:r>
      <w:bookmarkEnd w:id="2"/>
      <w:r>
        <w:t>(</w:t>
      </w:r>
      <w:proofErr w:type="gramEnd"/>
      <w:r>
        <w:t>PWS reference)</w:t>
      </w:r>
    </w:p>
    <w:p w14:paraId="18E3D6C2" w14:textId="77777777" w:rsidR="00DC2EF8" w:rsidRDefault="00DC2EF8" w:rsidP="00DC2EF8">
      <w:pPr>
        <w:autoSpaceDE w:val="0"/>
        <w:autoSpaceDN w:val="0"/>
        <w:adjustRightInd w:val="0"/>
        <w:spacing w:after="60"/>
        <w:rPr>
          <w:rFonts w:cs="Times New Roman"/>
        </w:rPr>
      </w:pPr>
      <w:r>
        <w:rPr>
          <w:rFonts w:cs="Times New Roman"/>
        </w:rPr>
        <w:t xml:space="preserve">Our proposed team brings with it an unparalleled record of bringing backlogs under control in minimum time while still ensuring full compliance with the FOIA. As previously </w:t>
      </w:r>
      <w:proofErr w:type="gramStart"/>
      <w:r>
        <w:rPr>
          <w:rFonts w:cs="Times New Roman"/>
        </w:rPr>
        <w:t>mentioned</w:t>
      </w:r>
      <w:proofErr w:type="gramEnd"/>
      <w:r>
        <w:rPr>
          <w:rFonts w:cs="Times New Roman"/>
        </w:rPr>
        <w:t xml:space="preserve"> Mr. McEachin led a team that successfully reduced a previous VA FOIA Backlog by over 80%. </w:t>
      </w:r>
    </w:p>
    <w:p w14:paraId="77B2854C" w14:textId="77777777" w:rsidR="00DC2EF8" w:rsidRDefault="00DC2EF8" w:rsidP="00DC2EF8">
      <w:pPr>
        <w:autoSpaceDE w:val="0"/>
        <w:autoSpaceDN w:val="0"/>
        <w:adjustRightInd w:val="0"/>
        <w:spacing w:after="60"/>
        <w:rPr>
          <w:rFonts w:cs="Times New Roman"/>
        </w:rPr>
      </w:pPr>
      <w:r w:rsidRPr="000B6247">
        <w:rPr>
          <w:rFonts w:cs="Times New Roman"/>
        </w:rPr>
        <w:t xml:space="preserve">Our proposed Backlog solution will consist of </w:t>
      </w:r>
      <w:r>
        <w:rPr>
          <w:rFonts w:cs="Times New Roman"/>
        </w:rPr>
        <w:t xml:space="preserve">a </w:t>
      </w:r>
      <w:r w:rsidRPr="000B6247">
        <w:rPr>
          <w:rFonts w:cs="Times New Roman"/>
        </w:rPr>
        <w:t xml:space="preserve">three-pronged approach </w:t>
      </w:r>
      <w:r>
        <w:rPr>
          <w:rFonts w:cs="Times New Roman"/>
        </w:rPr>
        <w:t xml:space="preserve">with the following </w:t>
      </w:r>
      <w:r w:rsidRPr="000B6247">
        <w:rPr>
          <w:rFonts w:cs="Times New Roman"/>
        </w:rPr>
        <w:t xml:space="preserve">major </w:t>
      </w:r>
      <w:proofErr w:type="gramStart"/>
      <w:r w:rsidRPr="000B6247">
        <w:rPr>
          <w:rFonts w:cs="Times New Roman"/>
        </w:rPr>
        <w:t>components</w:t>
      </w:r>
      <w:r w:rsidRPr="00ED6554">
        <w:rPr>
          <w:rFonts w:cs="Times New Roman"/>
          <w:color w:val="FF0000"/>
        </w:rPr>
        <w:t>:</w:t>
      </w:r>
      <w:r>
        <w:rPr>
          <w:rFonts w:cs="Times New Roman"/>
        </w:rPr>
        <w:t>?</w:t>
      </w:r>
      <w:proofErr w:type="gramEnd"/>
    </w:p>
    <w:p w14:paraId="16B0B6FD" w14:textId="5DC34E35" w:rsidR="00DC2EF8" w:rsidRDefault="00DC2EF8" w:rsidP="00DC2EF8">
      <w:pPr>
        <w:pStyle w:val="ListParagraph"/>
        <w:numPr>
          <w:ilvl w:val="0"/>
          <w:numId w:val="5"/>
        </w:numPr>
        <w:ind w:right="3600"/>
      </w:pPr>
      <w:r>
        <w:rPr>
          <w:noProof/>
        </w:rPr>
        <w:drawing>
          <wp:anchor distT="0" distB="0" distL="114300" distR="114300" simplePos="0" relativeHeight="251660288" behindDoc="0" locked="0" layoutInCell="1" allowOverlap="1" wp14:anchorId="2C67B994" wp14:editId="2247357D">
            <wp:simplePos x="0" y="0"/>
            <wp:positionH relativeFrom="column">
              <wp:posOffset>3750310</wp:posOffset>
            </wp:positionH>
            <wp:positionV relativeFrom="paragraph">
              <wp:posOffset>459105</wp:posOffset>
            </wp:positionV>
            <wp:extent cx="2188845" cy="3200400"/>
            <wp:effectExtent l="0" t="0" r="0" b="0"/>
            <wp:wrapSquare wrapText="bothSides"/>
            <wp:docPr id="681" name="Diagram 6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Pr>
          <w:b/>
        </w:rPr>
        <w:t>Expert Personnel</w:t>
      </w:r>
      <w:r>
        <w:t xml:space="preserve"> – Team </w:t>
      </w:r>
      <w:r>
        <w:t>Deceris</w:t>
      </w:r>
      <w:r>
        <w:t xml:space="preserve"> understands that the first critical step in any FOIA backlog reduction effort is putting the best FOIA Analysts to work on the existing backlogged cases. We are proposing a team that includes 5 highly trained and experienced</w:t>
      </w:r>
      <w:r>
        <w:rPr>
          <w:i/>
        </w:rPr>
        <w:t xml:space="preserve"> </w:t>
      </w:r>
      <w:r>
        <w:t xml:space="preserve">FOIA Analysts. This team of seasoned experts </w:t>
      </w:r>
      <w:proofErr w:type="gramStart"/>
      <w:r>
        <w:t>will  focus</w:t>
      </w:r>
      <w:proofErr w:type="gramEnd"/>
      <w:r>
        <w:t xml:space="preserve"> on eliminating current FOIA backlog while managing the incoming requests. Each of our proposed team members has experience not only in processing new FOIA requests but also, in taking over uncompleted existing cases and quickly moving them through the process to conclusion. Each of our team members will be prepared on day one to take on or take over even the most complex of cases. In addition, our team is expert in processing multiple FOIA requests simultaneously. We understand that there are interruptions in processing many cases for such things as: review by supervisors, fee issues, clarifications by the requester, or completion of the submitter notice process. Our team members will take full advantage of any of these gaps to process other assigned cases.</w:t>
      </w:r>
    </w:p>
    <w:p w14:paraId="1468BD7D" w14:textId="77777777" w:rsidR="00DC2EF8" w:rsidRDefault="00DC2EF8" w:rsidP="00DC2EF8">
      <w:pPr>
        <w:pStyle w:val="ListParagraph"/>
        <w:numPr>
          <w:ilvl w:val="0"/>
          <w:numId w:val="5"/>
        </w:numPr>
        <w:tabs>
          <w:tab w:val="left" w:pos="9360"/>
        </w:tabs>
      </w:pPr>
      <w:r>
        <w:rPr>
          <w:b/>
        </w:rPr>
        <w:t>FOIA SOP Expertise</w:t>
      </w:r>
      <w:r>
        <w:t>– We propose leveraging Mr. McEachin’s previous VA FOIA expertise to recommend enhancements to the VA’s FOIA processing SOPs. We understand that personnel whose primary duties are other than their FOIA responsibilities do much of VA’s FOIA processing and conduct virtually all of the records searches. As such, Mr. McEachin will thoroughly review the current FOIA SOPs, interview key stakeholders, and compare against best practices. He will then make recommendations for any needed changes to make the FOIA process more efficient and more easily understood by all personnel. We fully expect that this effort will provide substantial long-term benefits to FOIA processing Department-wide and will be key to preventing future backlogs.</w:t>
      </w:r>
    </w:p>
    <w:p w14:paraId="113A1305" w14:textId="77777777" w:rsidR="00DC2EF8" w:rsidRDefault="00DC2EF8" w:rsidP="00DC2EF8">
      <w:pPr>
        <w:pStyle w:val="ListParagraph"/>
        <w:numPr>
          <w:ilvl w:val="0"/>
          <w:numId w:val="5"/>
        </w:numPr>
        <w:ind w:right="-90"/>
      </w:pPr>
      <w:r w:rsidRPr="009A0229">
        <w:rPr>
          <w:b/>
        </w:rPr>
        <w:lastRenderedPageBreak/>
        <w:t>FOIA Xpress Process Improvement</w:t>
      </w:r>
      <w:r>
        <w:t xml:space="preserve"> – Finally, we propose leveraging Mr. </w:t>
      </w:r>
      <w:proofErr w:type="gramStart"/>
      <w:r>
        <w:t>McEachin’s  expertise</w:t>
      </w:r>
      <w:proofErr w:type="gramEnd"/>
      <w:r>
        <w:t xml:space="preserve"> to maximize the power of the </w:t>
      </w:r>
      <w:proofErr w:type="spellStart"/>
      <w:r>
        <w:t>FOIAXpress</w:t>
      </w:r>
      <w:proofErr w:type="spellEnd"/>
      <w:r>
        <w:t xml:space="preserve"> solution as implemented by the VA.. He is well qualified to analyze an agency’s use of </w:t>
      </w:r>
      <w:proofErr w:type="spellStart"/>
      <w:r>
        <w:t>FOIAXpress</w:t>
      </w:r>
      <w:proofErr w:type="spellEnd"/>
      <w:r>
        <w:t xml:space="preserve"> and then tailoring the tool to fit the agency’s unique needs. We expect that once maximized by VA, the power of </w:t>
      </w:r>
      <w:proofErr w:type="spellStart"/>
      <w:r>
        <w:t>FOIAXpress</w:t>
      </w:r>
      <w:proofErr w:type="spellEnd"/>
      <w:r>
        <w:t xml:space="preserve"> can significantly reduce processing time for all FOIA requests and continue to provide permanent improvements. </w:t>
      </w:r>
    </w:p>
    <w:p w14:paraId="7BF8598A" w14:textId="77777777" w:rsidR="00DC2EF8" w:rsidRDefault="00DC2EF8" w:rsidP="00DC2EF8">
      <w:pPr>
        <w:pStyle w:val="Heading3"/>
        <w:numPr>
          <w:ilvl w:val="2"/>
          <w:numId w:val="0"/>
        </w:numPr>
        <w:spacing w:before="120" w:after="120"/>
        <w:ind w:left="720" w:hanging="720"/>
      </w:pPr>
      <w:bookmarkStart w:id="3" w:name="_Toc237781361"/>
      <w:r>
        <w:t>Approach to Requestor and Fee Categorization (PWS 5.2)</w:t>
      </w:r>
      <w:bookmarkEnd w:id="3"/>
    </w:p>
    <w:p w14:paraId="01900237" w14:textId="77777777" w:rsidR="00DC2EF8" w:rsidRDefault="00DC2EF8" w:rsidP="00DC2EF8">
      <w:pPr>
        <w:widowControl w:val="0"/>
        <w:tabs>
          <w:tab w:val="left" w:pos="220"/>
          <w:tab w:val="left" w:pos="720"/>
        </w:tabs>
        <w:autoSpaceDE w:val="0"/>
        <w:autoSpaceDN w:val="0"/>
        <w:adjustRightInd w:val="0"/>
        <w:spacing w:before="0" w:after="200"/>
        <w:jc w:val="left"/>
        <w:rPr>
          <w:rFonts w:cs="Times New Roman"/>
          <w:bCs/>
          <w:szCs w:val="24"/>
        </w:rPr>
      </w:pPr>
      <w:r>
        <w:rPr>
          <w:rFonts w:cs="Times New Roman"/>
        </w:rPr>
        <w:t>Our proposed team</w:t>
      </w:r>
      <w:r>
        <w:t xml:space="preserve"> </w:t>
      </w:r>
      <w:r>
        <w:rPr>
          <w:rFonts w:cs="Times New Roman"/>
          <w:bCs/>
          <w:szCs w:val="24"/>
        </w:rPr>
        <w:t>has substantial experience (including over 10 years of FOIA processing experience at the VA) in categorizing FOIA requests into the appropriate fee category. Because of this deep experience, each of our team members fully understands these categories as follows:</w:t>
      </w:r>
    </w:p>
    <w:p w14:paraId="0CB1ADDB" w14:textId="77777777" w:rsidR="00DC2EF8" w:rsidRDefault="00DC2EF8" w:rsidP="00DC2EF8">
      <w:pPr>
        <w:pStyle w:val="ListParagraph"/>
        <w:widowControl w:val="0"/>
        <w:numPr>
          <w:ilvl w:val="0"/>
          <w:numId w:val="3"/>
        </w:numPr>
        <w:tabs>
          <w:tab w:val="left" w:pos="220"/>
          <w:tab w:val="left" w:pos="720"/>
        </w:tabs>
        <w:autoSpaceDE w:val="0"/>
        <w:autoSpaceDN w:val="0"/>
        <w:adjustRightInd w:val="0"/>
        <w:spacing w:before="0" w:after="200"/>
        <w:jc w:val="left"/>
        <w:rPr>
          <w:rFonts w:cs="Times New Roman"/>
          <w:bCs/>
          <w:szCs w:val="24"/>
        </w:rPr>
      </w:pPr>
      <w:r>
        <w:rPr>
          <w:rFonts w:cs="Times New Roman"/>
          <w:bCs/>
          <w:szCs w:val="24"/>
        </w:rPr>
        <w:t>Commercial use</w:t>
      </w:r>
      <w:r>
        <w:rPr>
          <w:rFonts w:cs="Times New Roman"/>
          <w:szCs w:val="24"/>
        </w:rPr>
        <w:t xml:space="preserve"> requesters seek the records to further the commercial interests of the requester. These requesters must pay for all search time, review time, and the cost of duplication. </w:t>
      </w:r>
    </w:p>
    <w:p w14:paraId="1767750B" w14:textId="77777777" w:rsidR="00DC2EF8" w:rsidRDefault="00DC2EF8" w:rsidP="00DC2EF8">
      <w:pPr>
        <w:pStyle w:val="ListParagraph"/>
        <w:widowControl w:val="0"/>
        <w:numPr>
          <w:ilvl w:val="0"/>
          <w:numId w:val="3"/>
        </w:numPr>
        <w:tabs>
          <w:tab w:val="left" w:pos="220"/>
          <w:tab w:val="left" w:pos="720"/>
        </w:tabs>
        <w:autoSpaceDE w:val="0"/>
        <w:autoSpaceDN w:val="0"/>
        <w:adjustRightInd w:val="0"/>
        <w:spacing w:before="0" w:after="200"/>
        <w:jc w:val="left"/>
        <w:rPr>
          <w:rFonts w:cs="Times New Roman"/>
          <w:bCs/>
          <w:szCs w:val="24"/>
        </w:rPr>
      </w:pPr>
      <w:r>
        <w:rPr>
          <w:rFonts w:cs="Times New Roman"/>
          <w:bCs/>
          <w:szCs w:val="24"/>
        </w:rPr>
        <w:t>News media</w:t>
      </w:r>
      <w:r>
        <w:rPr>
          <w:rFonts w:cs="Times New Roman"/>
          <w:szCs w:val="24"/>
        </w:rPr>
        <w:t xml:space="preserve"> requesters are actively gathering news for an entity that is organized and operated to publish or broadcast news to the public. These requesters pay for the cost of duplication after the first 100 pages. </w:t>
      </w:r>
    </w:p>
    <w:p w14:paraId="7701D4BD" w14:textId="77777777" w:rsidR="00DC2EF8" w:rsidRDefault="00DC2EF8" w:rsidP="00DC2EF8">
      <w:pPr>
        <w:pStyle w:val="ListParagraph"/>
        <w:widowControl w:val="0"/>
        <w:numPr>
          <w:ilvl w:val="0"/>
          <w:numId w:val="3"/>
        </w:numPr>
        <w:tabs>
          <w:tab w:val="left" w:pos="220"/>
          <w:tab w:val="left" w:pos="720"/>
        </w:tabs>
        <w:autoSpaceDE w:val="0"/>
        <w:autoSpaceDN w:val="0"/>
        <w:adjustRightInd w:val="0"/>
        <w:spacing w:before="0" w:after="200"/>
        <w:jc w:val="left"/>
        <w:rPr>
          <w:rFonts w:cs="Times New Roman"/>
          <w:bCs/>
          <w:szCs w:val="24"/>
        </w:rPr>
      </w:pPr>
      <w:r>
        <w:rPr>
          <w:rFonts w:cs="Times New Roman"/>
          <w:bCs/>
          <w:szCs w:val="24"/>
        </w:rPr>
        <w:t>Representatives of scientific or educational organizations</w:t>
      </w:r>
      <w:r>
        <w:rPr>
          <w:rFonts w:cs="Times New Roman"/>
          <w:szCs w:val="24"/>
        </w:rPr>
        <w:t xml:space="preserve"> represents a school or educational institution operating a program of scholarly research, or a noncommercial scientific organization operating solely for the purpose of conducting scientific research and not intended to promote a particular product or industry. These requesters pay for the cost of duplication after the first 100 pages. </w:t>
      </w:r>
    </w:p>
    <w:p w14:paraId="1C4B3F86" w14:textId="77777777" w:rsidR="00DC2EF8" w:rsidRDefault="00DC2EF8" w:rsidP="00DC2EF8">
      <w:pPr>
        <w:pStyle w:val="ListParagraph"/>
        <w:widowControl w:val="0"/>
        <w:numPr>
          <w:ilvl w:val="0"/>
          <w:numId w:val="3"/>
        </w:numPr>
        <w:tabs>
          <w:tab w:val="left" w:pos="220"/>
          <w:tab w:val="left" w:pos="720"/>
        </w:tabs>
        <w:autoSpaceDE w:val="0"/>
        <w:autoSpaceDN w:val="0"/>
        <w:adjustRightInd w:val="0"/>
        <w:spacing w:before="0" w:after="200"/>
        <w:jc w:val="left"/>
        <w:rPr>
          <w:rFonts w:cs="Times New Roman"/>
          <w:bCs/>
          <w:szCs w:val="24"/>
        </w:rPr>
      </w:pPr>
      <w:r>
        <w:rPr>
          <w:rFonts w:cs="Times New Roman"/>
          <w:bCs/>
          <w:szCs w:val="24"/>
        </w:rPr>
        <w:t>All others</w:t>
      </w:r>
      <w:r>
        <w:rPr>
          <w:rFonts w:cs="Times New Roman"/>
          <w:szCs w:val="24"/>
        </w:rPr>
        <w:t xml:space="preserve"> requesters are individuals seeking information for personal, not-for-profit, use and do not fall into any of the three categories above. These requesters pay for search time after the first two hours and the cost of duplication after the first 100 pages.</w:t>
      </w:r>
    </w:p>
    <w:p w14:paraId="0DD0C648" w14:textId="099FDC88" w:rsidR="00DC2EF8" w:rsidRDefault="00DC2EF8" w:rsidP="00DC2EF8">
      <w:pPr>
        <w:spacing w:after="0"/>
        <w:rPr>
          <w:rFonts w:cs="Times New Roman"/>
          <w:szCs w:val="24"/>
        </w:rPr>
      </w:pPr>
      <w:r>
        <w:rPr>
          <w:rFonts w:cs="Times New Roman"/>
        </w:rPr>
        <w:t xml:space="preserve">Team </w:t>
      </w:r>
      <w:r>
        <w:rPr>
          <w:rFonts w:cs="Times New Roman"/>
        </w:rPr>
        <w:t>Deceris</w:t>
      </w:r>
      <w:r>
        <w:rPr>
          <w:rFonts w:cs="Times New Roman"/>
        </w:rPr>
        <w:t xml:space="preserve"> </w:t>
      </w:r>
      <w:r>
        <w:rPr>
          <w:rFonts w:cs="Times New Roman"/>
          <w:szCs w:val="24"/>
        </w:rPr>
        <w:t xml:space="preserve">has the experience to accurately determine if a FOIA requester meets the criteria for fee waivers. Our team members will present proposed determinations to the VA OPRM responsible for a final determination as to fee waiver based solely on the requesters’ justification fully describing </w:t>
      </w:r>
      <w:r>
        <w:rPr>
          <w:rFonts w:cs="Times New Roman"/>
          <w:bCs/>
          <w:szCs w:val="24"/>
        </w:rPr>
        <w:t>the criteria below:</w:t>
      </w:r>
    </w:p>
    <w:p w14:paraId="1D538064" w14:textId="77777777" w:rsidR="00DC2EF8" w:rsidRDefault="00DC2EF8" w:rsidP="00DC2EF8">
      <w:pPr>
        <w:pStyle w:val="ListParagraph"/>
        <w:widowControl w:val="0"/>
        <w:numPr>
          <w:ilvl w:val="0"/>
          <w:numId w:val="4"/>
        </w:numPr>
        <w:tabs>
          <w:tab w:val="left" w:pos="940"/>
          <w:tab w:val="left" w:pos="1440"/>
        </w:tabs>
        <w:autoSpaceDE w:val="0"/>
        <w:autoSpaceDN w:val="0"/>
        <w:adjustRightInd w:val="0"/>
        <w:spacing w:before="0" w:after="200"/>
        <w:jc w:val="left"/>
        <w:rPr>
          <w:rFonts w:cs="Times New Roman"/>
          <w:szCs w:val="24"/>
        </w:rPr>
      </w:pPr>
      <w:r>
        <w:rPr>
          <w:rFonts w:cs="Times New Roman"/>
          <w:szCs w:val="24"/>
        </w:rPr>
        <w:t>How the subject matter of the requested records concerns the operations or activities of the government.</w:t>
      </w:r>
    </w:p>
    <w:p w14:paraId="277133B4" w14:textId="77777777" w:rsidR="00DC2EF8" w:rsidRDefault="00DC2EF8" w:rsidP="00DC2EF8">
      <w:pPr>
        <w:pStyle w:val="ListParagraph"/>
        <w:widowControl w:val="0"/>
        <w:numPr>
          <w:ilvl w:val="0"/>
          <w:numId w:val="4"/>
        </w:numPr>
        <w:tabs>
          <w:tab w:val="left" w:pos="940"/>
          <w:tab w:val="left" w:pos="1440"/>
        </w:tabs>
        <w:autoSpaceDE w:val="0"/>
        <w:autoSpaceDN w:val="0"/>
        <w:adjustRightInd w:val="0"/>
        <w:spacing w:before="0" w:after="200"/>
        <w:jc w:val="left"/>
        <w:rPr>
          <w:rFonts w:cs="Times New Roman"/>
          <w:szCs w:val="24"/>
        </w:rPr>
      </w:pPr>
      <w:r>
        <w:rPr>
          <w:rFonts w:cs="Times New Roman"/>
          <w:szCs w:val="24"/>
        </w:rPr>
        <w:t>How the disclosure is likely to contribute to an understanding of Federal government operations or activities.</w:t>
      </w:r>
    </w:p>
    <w:p w14:paraId="3CD93CC9" w14:textId="77777777" w:rsidR="00DC2EF8" w:rsidRDefault="00DC2EF8" w:rsidP="00DC2EF8">
      <w:pPr>
        <w:pStyle w:val="ListParagraph"/>
        <w:widowControl w:val="0"/>
        <w:numPr>
          <w:ilvl w:val="0"/>
          <w:numId w:val="4"/>
        </w:numPr>
        <w:tabs>
          <w:tab w:val="left" w:pos="940"/>
          <w:tab w:val="left" w:pos="1440"/>
        </w:tabs>
        <w:autoSpaceDE w:val="0"/>
        <w:autoSpaceDN w:val="0"/>
        <w:adjustRightInd w:val="0"/>
        <w:spacing w:before="0" w:after="200"/>
        <w:jc w:val="left"/>
        <w:rPr>
          <w:rFonts w:cs="Times New Roman"/>
          <w:szCs w:val="24"/>
        </w:rPr>
      </w:pPr>
      <w:r>
        <w:rPr>
          <w:rFonts w:cs="Times New Roman"/>
          <w:szCs w:val="24"/>
        </w:rPr>
        <w:t>How disclosure of the requested information will contribute to the understanding of the public at large, as opposed to the individual understanding of the requester or a narrow segment of interested persons.</w:t>
      </w:r>
    </w:p>
    <w:p w14:paraId="74FDADED" w14:textId="77777777" w:rsidR="00DC2EF8" w:rsidRDefault="00DC2EF8" w:rsidP="00DC2EF8">
      <w:pPr>
        <w:pStyle w:val="ListParagraph"/>
        <w:widowControl w:val="0"/>
        <w:numPr>
          <w:ilvl w:val="0"/>
          <w:numId w:val="4"/>
        </w:numPr>
        <w:tabs>
          <w:tab w:val="left" w:pos="940"/>
          <w:tab w:val="left" w:pos="1440"/>
        </w:tabs>
        <w:autoSpaceDE w:val="0"/>
        <w:autoSpaceDN w:val="0"/>
        <w:adjustRightInd w:val="0"/>
        <w:spacing w:before="0" w:after="200"/>
        <w:jc w:val="left"/>
        <w:rPr>
          <w:rFonts w:cs="Times New Roman"/>
          <w:szCs w:val="24"/>
        </w:rPr>
      </w:pPr>
      <w:r>
        <w:rPr>
          <w:rFonts w:cs="Times New Roman"/>
          <w:szCs w:val="24"/>
        </w:rPr>
        <w:t>How the contribution to the public understanding of Federal government operations or activities will be significant.</w:t>
      </w:r>
    </w:p>
    <w:p w14:paraId="4306652B" w14:textId="77777777" w:rsidR="00DC2EF8" w:rsidRDefault="00DC2EF8" w:rsidP="00DC2EF8">
      <w:pPr>
        <w:pStyle w:val="ListParagraph"/>
        <w:widowControl w:val="0"/>
        <w:numPr>
          <w:ilvl w:val="0"/>
          <w:numId w:val="4"/>
        </w:numPr>
        <w:tabs>
          <w:tab w:val="left" w:pos="940"/>
          <w:tab w:val="left" w:pos="1440"/>
        </w:tabs>
        <w:autoSpaceDE w:val="0"/>
        <w:autoSpaceDN w:val="0"/>
        <w:adjustRightInd w:val="0"/>
        <w:spacing w:before="0" w:after="200"/>
        <w:jc w:val="left"/>
        <w:rPr>
          <w:rFonts w:cs="Times New Roman"/>
          <w:szCs w:val="24"/>
        </w:rPr>
      </w:pPr>
      <w:r>
        <w:rPr>
          <w:rFonts w:cs="Times New Roman"/>
          <w:szCs w:val="24"/>
        </w:rPr>
        <w:t>How the requester has a commercial interest that would be furthered by the requested disclosure.</w:t>
      </w:r>
    </w:p>
    <w:p w14:paraId="6763F710" w14:textId="77777777" w:rsidR="00DC2EF8" w:rsidRPr="004F27D9" w:rsidRDefault="00DC2EF8" w:rsidP="00DC2EF8">
      <w:pPr>
        <w:pStyle w:val="ListParagraph"/>
        <w:widowControl w:val="0"/>
        <w:numPr>
          <w:ilvl w:val="0"/>
          <w:numId w:val="4"/>
        </w:numPr>
        <w:tabs>
          <w:tab w:val="left" w:pos="940"/>
          <w:tab w:val="left" w:pos="1440"/>
        </w:tabs>
        <w:autoSpaceDE w:val="0"/>
        <w:autoSpaceDN w:val="0"/>
        <w:adjustRightInd w:val="0"/>
        <w:spacing w:before="0" w:after="200"/>
        <w:jc w:val="left"/>
        <w:rPr>
          <w:rFonts w:cs="Times New Roman"/>
        </w:rPr>
      </w:pPr>
      <w:r>
        <w:rPr>
          <w:rFonts w:cs="Times New Roman"/>
          <w:szCs w:val="24"/>
        </w:rPr>
        <w:t>How the magnitude of any identified commercial interest to the requester is sufficiently large in comparison with the public interest in disclosure that disclosure is primarily in the commercial interest of the requester.</w:t>
      </w:r>
    </w:p>
    <w:p w14:paraId="010A15DB" w14:textId="77777777" w:rsidR="00DC2EF8" w:rsidRPr="00256EA7" w:rsidRDefault="00DC2EF8" w:rsidP="00DC2EF8">
      <w:pPr>
        <w:pStyle w:val="Heading1"/>
        <w:spacing w:before="120" w:after="120"/>
        <w:ind w:left="432" w:hanging="432"/>
      </w:pPr>
      <w:bookmarkStart w:id="4" w:name="_Toc237781362"/>
      <w:r>
        <w:lastRenderedPageBreak/>
        <w:t>Management Methodology</w:t>
      </w:r>
      <w:bookmarkEnd w:id="4"/>
      <w:r>
        <w:t xml:space="preserve">                 </w:t>
      </w:r>
    </w:p>
    <w:p w14:paraId="7AF51B64" w14:textId="77777777" w:rsidR="00DC2EF8" w:rsidRDefault="00DC2EF8" w:rsidP="00DC2EF8">
      <w:pPr>
        <w:pStyle w:val="Heading2"/>
        <w:ind w:left="576" w:hanging="576"/>
      </w:pPr>
      <w:bookmarkStart w:id="5" w:name="_Toc237781363"/>
      <w:r>
        <w:t xml:space="preserve">3.1 Project Management </w:t>
      </w:r>
      <w:proofErr w:type="gramStart"/>
      <w:r>
        <w:t>( PWS</w:t>
      </w:r>
      <w:proofErr w:type="gramEnd"/>
      <w:r>
        <w:t xml:space="preserve"> 5.1.1)</w:t>
      </w:r>
      <w:bookmarkEnd w:id="5"/>
    </w:p>
    <w:p w14:paraId="2828CB4F" w14:textId="77777777" w:rsidR="00DC2EF8" w:rsidRPr="001F047B" w:rsidRDefault="00DC2EF8" w:rsidP="00DC2EF8">
      <w:r w:rsidRPr="001F047B">
        <w:t xml:space="preserve">Our approach to managing projects has been refined with over 60 collective years of Government contracting. It is built upon the methodologies detailed in the Project Management Body of Knowledge (PMBOK) produced by the Project Management Institute (PMI).  We have successfully applied these methodologies on similar client engagements at the Department of </w:t>
      </w:r>
      <w:r>
        <w:t>Veterans</w:t>
      </w:r>
      <w:r w:rsidRPr="001F047B">
        <w:t xml:space="preserve"> Affairs (VA), Drug Enforcement Agency (DEA), the Federal Deposit Insurance Corporation (FDIC), the United States Agency for International Development (USAID) and the Department of Defense.   Our proposed Project Manager, working with our Senior FOIA Analyst/Task Order Manager will leverage their expertise in the required report generation and the </w:t>
      </w:r>
      <w:proofErr w:type="spellStart"/>
      <w:r w:rsidRPr="001F047B">
        <w:t>FOIAXpress</w:t>
      </w:r>
      <w:proofErr w:type="spellEnd"/>
      <w:r w:rsidRPr="001F047B">
        <w:t xml:space="preserve"> reporting module to produce required reports for the COR and all key stakeholders as requirements are understood.  These reports will be comprehensive and include all deliverable requirements which are not limited to the types of requests completed, issues encountered (with proposed remedy), approximate value of amount of time spent processing each request, number of requests processed as well as brief descriptions of complex requests with anticipated completion date. Our Program Manager will provide quality assurance and control, providing standardized reporting requirements and reviews to capture and mitigate any potential concerns with data management and reporting.  Using current tools and software available, like MS Project, the Program Manager will maintain a Program Plan with goals, milestones and deliverables, coupled with a strong Risk Mitigation Plan to ensure all requirements are met and products delivered on-time.  Our Project Management planning and execution are time-tested processes that have provided the highest caliber of performance by all of our personnel.  Our Project Manager will be the single focal point between our resident </w:t>
      </w:r>
      <w:proofErr w:type="spellStart"/>
      <w:r w:rsidRPr="001F047B">
        <w:t>FOIAXpress</w:t>
      </w:r>
      <w:proofErr w:type="spellEnd"/>
      <w:r w:rsidRPr="001F047B">
        <w:t xml:space="preserve"> SME, our VA FOIA SME and our on-site FOIA </w:t>
      </w:r>
      <w:proofErr w:type="gramStart"/>
      <w:r w:rsidRPr="001F047B">
        <w:t>Analysts,  enabling</w:t>
      </w:r>
      <w:proofErr w:type="gramEnd"/>
      <w:r w:rsidRPr="001F047B">
        <w:t xml:space="preserve"> the Project Manager to capture concerns and provide guidance seamlessly, resulting in streamlined operations which mitigate any obstacles in the processes.  With our direct reach-back capability to </w:t>
      </w:r>
      <w:proofErr w:type="spellStart"/>
      <w:r w:rsidRPr="001F047B">
        <w:t>FOIAXpress</w:t>
      </w:r>
      <w:proofErr w:type="spellEnd"/>
      <w:r w:rsidRPr="001F047B">
        <w:t xml:space="preserve"> and FOIA experts, our approach is to provide immediate assessment of a situation, concurrent training if required and the expertise to expedite through the issue. In the event one of our candidates would require an extended leave of absence or sudden departure from the contract for whatever reason, our Project Manager has instant access to equally qualified candidates to prevent any work stoppage or production loss. </w:t>
      </w:r>
    </w:p>
    <w:p w14:paraId="400C5E01" w14:textId="77777777" w:rsidR="00DC2EF8" w:rsidRPr="00562308" w:rsidRDefault="00DC2EF8" w:rsidP="00DC2EF8">
      <w:pPr>
        <w:pStyle w:val="Heading3"/>
        <w:ind w:left="720" w:hanging="720"/>
      </w:pPr>
      <w:bookmarkStart w:id="6" w:name="_Toc237781364"/>
      <w:r w:rsidRPr="00562308">
        <w:t>Project Management Plan</w:t>
      </w:r>
      <w:bookmarkEnd w:id="6"/>
      <w:r w:rsidRPr="00562308">
        <w:t xml:space="preserve"> </w:t>
      </w:r>
    </w:p>
    <w:p w14:paraId="357F3111" w14:textId="77777777" w:rsidR="00DC2EF8" w:rsidRDefault="00DC2EF8" w:rsidP="00DC2EF8">
      <w:r>
        <w:t xml:space="preserve">The Project Manager will deliver the Project Management Plan as required in the PWS.  This plan will be developed using </w:t>
      </w:r>
      <w:r w:rsidRPr="00DC2EF8">
        <w:t xml:space="preserve">CPMP </w:t>
      </w:r>
      <w:r>
        <w:t xml:space="preserve">standards, capturing our approach, the timelines, and necessary tools to execute all requirements.  The CPMP will clearly define the schedule, milestones, risks and resource support required, and will be updated monthly and maintained throughout the period of performance.  We will coordinate and execute the planned data collection as well as the routine and ad hoc reporting requests as defined in the PWS and as required by the VA staff.  </w:t>
      </w:r>
    </w:p>
    <w:p w14:paraId="6B8A37CF" w14:textId="77777777" w:rsidR="00DC2EF8" w:rsidRDefault="00DC2EF8" w:rsidP="00DC2EF8">
      <w:pPr>
        <w:pStyle w:val="Heading3"/>
        <w:numPr>
          <w:ilvl w:val="2"/>
          <w:numId w:val="0"/>
        </w:numPr>
        <w:spacing w:before="120" w:after="120"/>
        <w:ind w:left="720" w:hanging="720"/>
      </w:pPr>
      <w:bookmarkStart w:id="7" w:name="_Toc237781365"/>
      <w:r>
        <w:t>Technical Kickoff Meeting (PWS 5.1.2)</w:t>
      </w:r>
      <w:bookmarkEnd w:id="7"/>
    </w:p>
    <w:p w14:paraId="308BE9D9" w14:textId="76122C5D" w:rsidR="00DC2EF8" w:rsidRDefault="00DC2EF8" w:rsidP="00DC2EF8">
      <w:r>
        <w:t xml:space="preserve">The </w:t>
      </w:r>
      <w:r>
        <w:t>Deceris</w:t>
      </w:r>
      <w:r>
        <w:t xml:space="preserve"> </w:t>
      </w:r>
      <w:proofErr w:type="gramStart"/>
      <w:r>
        <w:t>Team  will</w:t>
      </w:r>
      <w:proofErr w:type="gramEnd"/>
      <w:r>
        <w:t xml:space="preserve"> schedule the Technical Kickoff Meeting within 10 days of contract award as defined in the PWS, meeting all requirements as outlined.   Team </w:t>
      </w:r>
      <w:r>
        <w:t>Deceris</w:t>
      </w:r>
      <w:r>
        <w:t xml:space="preserve"> recognizes the minimum deliverables will be the Kickoff Meeting Presentation (to include intended approach, work plan and project schedule) and the meeting agenda. The agenda and Kickoff Meeting </w:t>
      </w:r>
      <w:r>
        <w:lastRenderedPageBreak/>
        <w:t>Presentation will be delivered to all attendees at least 5 days prior to the meeting.  We will provide, at the Kickoff meeting, all information necessary to facilitate our staff’s site access, to include:  List of Contractor Personnel; Signed Non-disclosure Agreements; Identity Verification Documents; and PIV packets for proposed personnel.  Our team will work closely with the VA to capture any unforeseen requirements for the Kickoff Meeting and will provide meeting minutes to all attendees within 3 days of completion of the meeting.</w:t>
      </w:r>
    </w:p>
    <w:p w14:paraId="0297082C" w14:textId="77777777" w:rsidR="00DC2EF8" w:rsidRDefault="00DC2EF8" w:rsidP="00DC2EF8">
      <w:pPr>
        <w:pStyle w:val="Heading3"/>
        <w:numPr>
          <w:ilvl w:val="2"/>
          <w:numId w:val="0"/>
        </w:numPr>
        <w:spacing w:before="120" w:after="120"/>
        <w:ind w:left="720" w:hanging="720"/>
      </w:pPr>
      <w:bookmarkStart w:id="8" w:name="_Toc237781366"/>
      <w:r>
        <w:t>Reporting Requirements</w:t>
      </w:r>
      <w:bookmarkEnd w:id="8"/>
    </w:p>
    <w:p w14:paraId="77212765" w14:textId="621A09FD" w:rsidR="00DC2EF8" w:rsidRDefault="00DC2EF8" w:rsidP="00DC2EF8">
      <w:r>
        <w:t xml:space="preserve">The </w:t>
      </w:r>
      <w:r>
        <w:t>Deceris</w:t>
      </w:r>
      <w:r>
        <w:t xml:space="preserve"> Team is intimately familiar with all reporting requirements in the PWS.  Our team will construct the Bi-Weekly Activity Reports (BWAR) to capture all reporting requirements in a format acceptable to the VA and as defined in the PWS.  Our team understands the requirement to capture reporting requirements in </w:t>
      </w:r>
      <w:proofErr w:type="gramStart"/>
      <w:r>
        <w:t>two week</w:t>
      </w:r>
      <w:proofErr w:type="gramEnd"/>
      <w:r>
        <w:t xml:space="preserve"> periods, delivering each report on time, with all data from the previous bi-weekly period.</w:t>
      </w:r>
    </w:p>
    <w:p w14:paraId="4DF13C5D" w14:textId="77777777" w:rsidR="00DC2EF8" w:rsidRPr="00703699" w:rsidRDefault="00DC2EF8" w:rsidP="00DC2EF8">
      <w:r>
        <w:t xml:space="preserve">The BWAR will be a measurement tool incorporated by the Program Manager to monitor performance as it is related to the CPMP.  The report, coupled with the CPMP will provide the Program Manager the necessary visibility to mitigate risks, make adjustments and keep the project on </w:t>
      </w:r>
      <w:proofErr w:type="spellStart"/>
      <w:r>
        <w:t>schedule</w:t>
      </w:r>
      <w:r w:rsidRPr="00703699">
        <w:t>Based</w:t>
      </w:r>
      <w:proofErr w:type="spellEnd"/>
      <w:r w:rsidRPr="00703699">
        <w:t xml:space="preserve"> on each </w:t>
      </w:r>
      <w:r>
        <w:t>client’s</w:t>
      </w:r>
      <w:r w:rsidRPr="00703699">
        <w:t xml:space="preserve"> business or se</w:t>
      </w:r>
      <w:r>
        <w:t>rvice goals and objectives, The Seirra 7 Team</w:t>
      </w:r>
      <w:r w:rsidRPr="00703699">
        <w:t xml:space="preserve"> works collaboratively with our </w:t>
      </w:r>
      <w:r>
        <w:t>customer</w:t>
      </w:r>
      <w:r w:rsidRPr="00703699">
        <w:t xml:space="preserve"> to determine what SHOULD be measured and what CAN be measured.  If possible, we seek to identify metrics directly tied to the customer’s success factors.</w:t>
      </w:r>
      <w:r w:rsidRPr="00D579B6">
        <w:rPr>
          <w:noProof/>
        </w:rPr>
        <w:t xml:space="preserve"> </w:t>
      </w:r>
    </w:p>
    <w:p w14:paraId="3AA59121" w14:textId="77777777" w:rsidR="00DC2EF8" w:rsidRDefault="00DC2EF8" w:rsidP="00DC2EF8">
      <w:r w:rsidRPr="00703699">
        <w:t xml:space="preserve">Once quantifiable metrics are determined they are collected on a relevant periodic basis (usually monthly).  After a few months of data collection, reports begin to identify performance volume, averages and trends. </w:t>
      </w:r>
      <w:r>
        <w:t>Some examples of core metrics include response time, resolution time, and customer satisfaction.</w:t>
      </w:r>
    </w:p>
    <w:p w14:paraId="7CBD748E" w14:textId="77777777" w:rsidR="00DC2EF8" w:rsidRPr="00004D68" w:rsidRDefault="00DC2EF8" w:rsidP="00DC2EF8">
      <w:r>
        <w:t>Working closely with VA leadership at the appropriate level</w:t>
      </w:r>
      <w:r w:rsidRPr="003612EC">
        <w:t>, our team will implement defined metrics</w:t>
      </w:r>
      <w:r>
        <w:t xml:space="preserve"> (as defined in section 5.1.3 of the PWS</w:t>
      </w:r>
      <w:r w:rsidRPr="003612EC">
        <w:t xml:space="preserve"> based upon the critical perfor</w:t>
      </w:r>
      <w:r>
        <w:t>mance objectives provided by the VA</w:t>
      </w:r>
      <w:r w:rsidRPr="003612EC">
        <w:t xml:space="preserve"> to track project progress, status, and quality. We will continually monitor these metrics to ensure adequate resources and funds are allocated as necessary to perform the required tasks. The metrics will be leveraged to ensure project team members and </w:t>
      </w:r>
      <w:r>
        <w:t>the VA</w:t>
      </w:r>
      <w:r w:rsidRPr="003612EC">
        <w:t xml:space="preserve"> accurately monitor progress and critical attention areas while identifying opportunities for improvement. Our team will provide bi-weekly </w:t>
      </w:r>
      <w:proofErr w:type="gramStart"/>
      <w:r w:rsidRPr="003612EC">
        <w:t>and</w:t>
      </w:r>
      <w:r>
        <w:t xml:space="preserve"> </w:t>
      </w:r>
      <w:r w:rsidRPr="003612EC">
        <w:t xml:space="preserve"> monthly</w:t>
      </w:r>
      <w:proofErr w:type="gramEnd"/>
      <w:r w:rsidRPr="003612EC">
        <w:t xml:space="preserve"> reporting, as defined </w:t>
      </w:r>
      <w:r>
        <w:t>and required by the PWS</w:t>
      </w:r>
      <w:r w:rsidRPr="003612EC">
        <w:t xml:space="preserve"> to present a complete understanding of the project’s progress so that appropriate corrective actions can be taken</w:t>
      </w:r>
      <w:r>
        <w:t xml:space="preserve"> if </w:t>
      </w:r>
      <w:r w:rsidRPr="003612EC">
        <w:t xml:space="preserve"> the project’s performance deviates significantly from the plan. We will utilize </w:t>
      </w:r>
      <w:proofErr w:type="spellStart"/>
      <w:r w:rsidRPr="003612EC">
        <w:t>FOIAXpress</w:t>
      </w:r>
      <w:proofErr w:type="spellEnd"/>
      <w:r w:rsidRPr="003612EC">
        <w:t xml:space="preserve"> and Microsoft Project to generate status reports, bi-weekly and monthly project status dashboards, and ad-hoc reports at the request of </w:t>
      </w:r>
      <w:r>
        <w:t>VA</w:t>
      </w:r>
      <w:r w:rsidRPr="003612EC">
        <w:t xml:space="preserve"> senior management.</w:t>
      </w:r>
    </w:p>
    <w:p w14:paraId="0B2D5610" w14:textId="77777777" w:rsidR="00DC2EF8" w:rsidRPr="00C450FE" w:rsidRDefault="00DC2EF8" w:rsidP="00DC2EF8">
      <w:pPr>
        <w:rPr>
          <w:b/>
        </w:rPr>
      </w:pPr>
      <w:bookmarkStart w:id="9" w:name="_Toc347252072"/>
      <w:r w:rsidRPr="00C450FE">
        <w:rPr>
          <w:b/>
        </w:rPr>
        <w:t>Financial Reporting</w:t>
      </w:r>
      <w:bookmarkEnd w:id="9"/>
    </w:p>
    <w:p w14:paraId="654B5BA2" w14:textId="7E6E3F37" w:rsidR="00DC2EF8" w:rsidRPr="003612EC" w:rsidRDefault="00DC2EF8" w:rsidP="00DC2EF8">
      <w:r>
        <w:t xml:space="preserve">Team </w:t>
      </w:r>
      <w:r>
        <w:t>Deceris</w:t>
      </w:r>
      <w:r>
        <w:t xml:space="preserve"> will closely manage all financial aspects of this program and report to the Government on a bi-monthly basis the hours worked, the current month spend rates, performance against the established project budget and any variances to hours, budget or project deliverables.  </w:t>
      </w:r>
      <w:proofErr w:type="gramStart"/>
      <w:r>
        <w:t>All  project</w:t>
      </w:r>
      <w:proofErr w:type="gramEnd"/>
      <w:r>
        <w:t xml:space="preserve"> information as required with PWS Section 5.1.3 will be included in our bi-weekly reports.  </w:t>
      </w:r>
      <w:r w:rsidRPr="00BE766F">
        <w:t xml:space="preserve">The budget will be monitored through the use of the </w:t>
      </w:r>
      <w:r>
        <w:t>m</w:t>
      </w:r>
      <w:r w:rsidRPr="00BE766F">
        <w:t xml:space="preserve">onthly Project Cost Report (PCR).  The </w:t>
      </w:r>
      <w:r>
        <w:t xml:space="preserve">PCR </w:t>
      </w:r>
      <w:r w:rsidRPr="00BE766F">
        <w:t>outlines the measures that will be used to analyze the budget.</w:t>
      </w:r>
    </w:p>
    <w:p w14:paraId="17073C0E" w14:textId="00A50063" w:rsidR="00DC2EF8" w:rsidRDefault="00DC2EF8" w:rsidP="00DC2EF8">
      <w:r>
        <w:t>The</w:t>
      </w:r>
      <w:r w:rsidRPr="00BE766F">
        <w:t xml:space="preserve"> project schedule is the primary tool for identifying, scheduling, and monitoring the progress of project tasks</w:t>
      </w:r>
      <w:r>
        <w:t>,</w:t>
      </w:r>
      <w:r w:rsidRPr="00BE766F">
        <w:t xml:space="preserve"> </w:t>
      </w:r>
      <w:r>
        <w:t>sub-tasks and contract spending. A p</w:t>
      </w:r>
      <w:r w:rsidRPr="00BE766F">
        <w:t>roject schedule is developed with the support of Key Stakeholder representatives both from</w:t>
      </w:r>
      <w:r>
        <w:t xml:space="preserve"> the client and Contractor</w:t>
      </w:r>
      <w:r w:rsidRPr="00BE766F">
        <w:t xml:space="preserve"> project team.  Once </w:t>
      </w:r>
      <w:r w:rsidRPr="00BE766F">
        <w:lastRenderedPageBreak/>
        <w:t>established, the approved schedule will be reviewed with the Client Proje</w:t>
      </w:r>
      <w:r>
        <w:t xml:space="preserve">ct Sponsor, Team </w:t>
      </w:r>
      <w:proofErr w:type="gramStart"/>
      <w:r>
        <w:t>Deceris</w:t>
      </w:r>
      <w:r>
        <w:t xml:space="preserve">  </w:t>
      </w:r>
      <w:r w:rsidRPr="00BE766F">
        <w:t>and</w:t>
      </w:r>
      <w:proofErr w:type="gramEnd"/>
      <w:r w:rsidRPr="00BE766F">
        <w:t xml:space="preserve"> other key </w:t>
      </w:r>
      <w:r>
        <w:t>project stakeholders on a bi-monthly</w:t>
      </w:r>
      <w:r w:rsidRPr="00BE766F">
        <w:t xml:space="preserve"> basis th</w:t>
      </w:r>
      <w:r>
        <w:t>r</w:t>
      </w:r>
      <w:r w:rsidRPr="00BE766F">
        <w:t xml:space="preserve">ough </w:t>
      </w:r>
      <w:r>
        <w:t xml:space="preserve">various venues (i.e., Joint Team Meetings, </w:t>
      </w:r>
      <w:r w:rsidRPr="00BE766F">
        <w:t>Schedule Review Meeting</w:t>
      </w:r>
      <w:r>
        <w:t xml:space="preserve">s, and Team Lead Meetings). </w:t>
      </w:r>
    </w:p>
    <w:p w14:paraId="0B97B5A3" w14:textId="507AF63D" w:rsidR="00DC2EF8" w:rsidRPr="00DC2EF8" w:rsidRDefault="00DC2EF8" w:rsidP="00DC2EF8">
      <w:r w:rsidRPr="00DC2EF8">
        <w:t xml:space="preserve">Team </w:t>
      </w:r>
      <w:r>
        <w:t>Deceris</w:t>
      </w:r>
      <w:r w:rsidRPr="00DC2EF8">
        <w:t xml:space="preserve"> is open to specific requirements that may be determined by </w:t>
      </w:r>
      <w:proofErr w:type="gramStart"/>
      <w:r w:rsidRPr="00DC2EF8">
        <w:t>VA  Program</w:t>
      </w:r>
      <w:proofErr w:type="gramEnd"/>
      <w:r w:rsidRPr="00DC2EF8">
        <w:t xml:space="preserve"> staff to insure effective financial management of the FOIA Reduction project in an effort to create transparency and prevent escalation of outstanding issues.</w:t>
      </w:r>
    </w:p>
    <w:p w14:paraId="561FEBCE" w14:textId="77777777" w:rsidR="00DC2EF8" w:rsidRDefault="00DC2EF8" w:rsidP="00DC2EF8">
      <w:pPr>
        <w:spacing w:before="0" w:after="0"/>
        <w:jc w:val="left"/>
        <w:rPr>
          <w:b/>
        </w:rPr>
      </w:pPr>
      <w:r w:rsidRPr="00C450FE">
        <w:rPr>
          <w:b/>
        </w:rPr>
        <w:t>Performance Reporting</w:t>
      </w:r>
    </w:p>
    <w:p w14:paraId="21A62384" w14:textId="77777777" w:rsidR="00DC2EF8" w:rsidRPr="00C450FE" w:rsidRDefault="00DC2EF8" w:rsidP="00DC2EF8">
      <w:pPr>
        <w:spacing w:before="0" w:after="0"/>
        <w:jc w:val="left"/>
        <w:rPr>
          <w:b/>
        </w:rPr>
      </w:pPr>
    </w:p>
    <w:p w14:paraId="7DAD4515" w14:textId="77777777" w:rsidR="00DC2EF8" w:rsidRPr="001F047B" w:rsidRDefault="00DC2EF8" w:rsidP="00DC2EF8">
      <w:pPr>
        <w:spacing w:before="0" w:after="0"/>
        <w:jc w:val="left"/>
      </w:pPr>
      <w:r w:rsidRPr="001F047B">
        <w:t xml:space="preserve">In addition to the reporting requirements defined in the PWS, there are a wide range of performance measurements that can be developed and monitored with the </w:t>
      </w:r>
      <w:proofErr w:type="spellStart"/>
      <w:r w:rsidRPr="001F047B">
        <w:t>FOIAXpress</w:t>
      </w:r>
      <w:proofErr w:type="spellEnd"/>
      <w:r w:rsidRPr="001F047B">
        <w:t xml:space="preserve"> tool.  We will work closely with VA staff to explore these additional reporting capabilities and determine which of them may be most beneficial to </w:t>
      </w:r>
      <w:proofErr w:type="gramStart"/>
      <w:r w:rsidRPr="001F047B">
        <w:t>insure</w:t>
      </w:r>
      <w:proofErr w:type="gramEnd"/>
      <w:r w:rsidRPr="001F047B">
        <w:t xml:space="preserve"> the highest quality of project support.  Among a long list of potential metrics are:</w:t>
      </w:r>
    </w:p>
    <w:p w14:paraId="7B40376D" w14:textId="77777777" w:rsidR="00DC2EF8" w:rsidRDefault="00DC2EF8" w:rsidP="00DC2EF8">
      <w:pPr>
        <w:spacing w:before="0" w:after="0"/>
        <w:jc w:val="left"/>
        <w:rPr>
          <w:b/>
        </w:rPr>
      </w:pPr>
    </w:p>
    <w:p w14:paraId="699B5A17" w14:textId="77777777" w:rsidR="00DC2EF8" w:rsidRDefault="00DC2EF8" w:rsidP="00DC2EF8">
      <w:pPr>
        <w:pStyle w:val="ListParagraph"/>
        <w:numPr>
          <w:ilvl w:val="0"/>
          <w:numId w:val="2"/>
        </w:numPr>
        <w:spacing w:before="0" w:after="0"/>
        <w:jc w:val="left"/>
      </w:pPr>
      <w:r>
        <w:t># of outstanding FOIA requests in backlog</w:t>
      </w:r>
    </w:p>
    <w:p w14:paraId="07DC0A30" w14:textId="77777777" w:rsidR="00DC2EF8" w:rsidRDefault="00DC2EF8" w:rsidP="00DC2EF8">
      <w:pPr>
        <w:pStyle w:val="ListParagraph"/>
        <w:numPr>
          <w:ilvl w:val="0"/>
          <w:numId w:val="2"/>
        </w:numPr>
        <w:spacing w:before="0" w:after="0"/>
        <w:jc w:val="left"/>
      </w:pPr>
      <w:r>
        <w:t># of FOIA requests completed</w:t>
      </w:r>
    </w:p>
    <w:p w14:paraId="1F7F8125" w14:textId="77777777" w:rsidR="00DC2EF8" w:rsidRDefault="00DC2EF8" w:rsidP="00DC2EF8">
      <w:pPr>
        <w:pStyle w:val="ListParagraph"/>
        <w:numPr>
          <w:ilvl w:val="0"/>
          <w:numId w:val="2"/>
        </w:numPr>
        <w:spacing w:before="0" w:after="0"/>
        <w:jc w:val="left"/>
      </w:pPr>
      <w:r>
        <w:t># of new cases received</w:t>
      </w:r>
    </w:p>
    <w:p w14:paraId="798A3AA2" w14:textId="77777777" w:rsidR="00DC2EF8" w:rsidRDefault="00DC2EF8" w:rsidP="00DC2EF8">
      <w:pPr>
        <w:pStyle w:val="ListParagraph"/>
        <w:numPr>
          <w:ilvl w:val="0"/>
          <w:numId w:val="2"/>
        </w:numPr>
        <w:spacing w:before="0" w:after="0"/>
        <w:jc w:val="left"/>
      </w:pPr>
      <w:r>
        <w:t>Average FOIA processing time by individual analyst</w:t>
      </w:r>
    </w:p>
    <w:p w14:paraId="46F86305" w14:textId="77777777" w:rsidR="00DC2EF8" w:rsidRDefault="00DC2EF8" w:rsidP="00DC2EF8">
      <w:pPr>
        <w:pStyle w:val="ListParagraph"/>
        <w:numPr>
          <w:ilvl w:val="0"/>
          <w:numId w:val="2"/>
        </w:numPr>
        <w:spacing w:before="0" w:after="0"/>
        <w:jc w:val="left"/>
      </w:pPr>
      <w:r>
        <w:t>Client satisfaction measures</w:t>
      </w:r>
    </w:p>
    <w:p w14:paraId="41FB8E8F" w14:textId="77777777" w:rsidR="00DC2EF8" w:rsidRDefault="00DC2EF8" w:rsidP="00DC2EF8">
      <w:pPr>
        <w:spacing w:before="0" w:after="0"/>
        <w:ind w:left="720"/>
        <w:jc w:val="left"/>
      </w:pPr>
    </w:p>
    <w:p w14:paraId="6A98D252" w14:textId="77777777" w:rsidR="00DC2EF8" w:rsidRDefault="00DC2EF8" w:rsidP="00DC2EF8">
      <w:pPr>
        <w:spacing w:before="0" w:after="0"/>
        <w:jc w:val="left"/>
      </w:pPr>
      <w:r>
        <w:t xml:space="preserve">Once we have explored the current use of </w:t>
      </w:r>
      <w:proofErr w:type="spellStart"/>
      <w:r>
        <w:t>FOIAXpress</w:t>
      </w:r>
      <w:proofErr w:type="spellEnd"/>
      <w:r>
        <w:t xml:space="preserve"> within VA’s current SOP’s, we will make recommendations on how additional performance metrics can be automatically generated by </w:t>
      </w:r>
      <w:proofErr w:type="spellStart"/>
      <w:r>
        <w:t>FOIAXpress</w:t>
      </w:r>
      <w:proofErr w:type="spellEnd"/>
      <w:r>
        <w:t xml:space="preserve"> with no consequence to the FOIA processing effort by the FOIA Analysts.</w:t>
      </w:r>
    </w:p>
    <w:p w14:paraId="25517186" w14:textId="77777777" w:rsidR="00DC2EF8" w:rsidRDefault="00DC2EF8" w:rsidP="00DC2EF8">
      <w:pPr>
        <w:pStyle w:val="Heading2"/>
        <w:numPr>
          <w:ilvl w:val="1"/>
          <w:numId w:val="0"/>
        </w:numPr>
        <w:spacing w:before="120" w:after="120"/>
        <w:ind w:left="576" w:hanging="576"/>
        <w:rPr>
          <w:rFonts w:eastAsiaTheme="minorHAnsi"/>
        </w:rPr>
      </w:pPr>
      <w:bookmarkStart w:id="10" w:name="_Toc237781368"/>
      <w:r>
        <w:rPr>
          <w:rFonts w:eastAsiaTheme="minorHAnsi"/>
        </w:rPr>
        <w:t>Staffing Approach</w:t>
      </w:r>
      <w:bookmarkEnd w:id="10"/>
    </w:p>
    <w:p w14:paraId="407CEF28" w14:textId="53104F92" w:rsidR="00DC2EF8" w:rsidRDefault="00DC2EF8" w:rsidP="00DC2EF8">
      <w:proofErr w:type="gramStart"/>
      <w:r>
        <w:t xml:space="preserve">The  </w:t>
      </w:r>
      <w:r>
        <w:t>Deceris</w:t>
      </w:r>
      <w:proofErr w:type="gramEnd"/>
      <w:r>
        <w:t xml:space="preserve"> Team</w:t>
      </w:r>
      <w:r w:rsidRPr="000A3AD2">
        <w:t xml:space="preserve"> </w:t>
      </w:r>
      <w:r>
        <w:t xml:space="preserve">understands the importance of providing experienced and trained staff for this engagement.  We </w:t>
      </w:r>
      <w:r w:rsidRPr="000A3AD2">
        <w:t xml:space="preserve">participate in </w:t>
      </w:r>
      <w:r>
        <w:t>the</w:t>
      </w:r>
      <w:r w:rsidRPr="000A3AD2">
        <w:t xml:space="preserve"> Association for Image and Information Management (AIIM), </w:t>
      </w:r>
      <w:r>
        <w:t xml:space="preserve">and the </w:t>
      </w:r>
      <w:r w:rsidRPr="000A3AD2">
        <w:t>American Society of Access Professionals (ASAP) both as</w:t>
      </w:r>
      <w:r>
        <w:t xml:space="preserve"> a product vendor and a sponsor.  FOIA experts and professionals are regularly sent to regional meetings and training events organized by these groups for certification and learning.  We leverage our large presence at these conferences and shows as a </w:t>
      </w:r>
      <w:proofErr w:type="spellStart"/>
      <w:r>
        <w:t>FOIAXpress</w:t>
      </w:r>
      <w:proofErr w:type="spellEnd"/>
      <w:r>
        <w:t xml:space="preserve"> vendor to cultivate relationships with qualified FOIA and records management professionals to call upon if any staffing changes are required.</w:t>
      </w:r>
    </w:p>
    <w:p w14:paraId="13EFA454" w14:textId="77777777" w:rsidR="00DC2EF8" w:rsidRDefault="00DC2EF8" w:rsidP="00DC2EF8">
      <w:r>
        <w:t xml:space="preserve">We also leverage our extensive network of FOIA professionals built upon previous FOIA support engagements and </w:t>
      </w:r>
      <w:proofErr w:type="gramStart"/>
      <w:r>
        <w:t>the  implementation</w:t>
      </w:r>
      <w:proofErr w:type="gramEnd"/>
      <w:r>
        <w:t xml:space="preserve"> of </w:t>
      </w:r>
      <w:proofErr w:type="spellStart"/>
      <w:r>
        <w:t>FOIAXpress</w:t>
      </w:r>
      <w:proofErr w:type="spellEnd"/>
      <w:r>
        <w:t xml:space="preserve"> at over 200 federal FOIA offices.  Our team will:</w:t>
      </w:r>
    </w:p>
    <w:p w14:paraId="6B7FF956" w14:textId="77777777" w:rsidR="00DC2EF8" w:rsidRPr="000A3AD2" w:rsidRDefault="00DC2EF8" w:rsidP="00DC2EF8">
      <w:pPr>
        <w:pStyle w:val="Bullet"/>
      </w:pPr>
      <w:r w:rsidRPr="000A3AD2">
        <w:t>closely monitoring contract work requirements and trends.</w:t>
      </w:r>
    </w:p>
    <w:p w14:paraId="278D5BBE" w14:textId="77777777" w:rsidR="00DC2EF8" w:rsidRPr="000A3AD2" w:rsidRDefault="00DC2EF8" w:rsidP="00DC2EF8">
      <w:pPr>
        <w:pStyle w:val="Bullet"/>
      </w:pPr>
      <w:r w:rsidRPr="000A3AD2">
        <w:t>Maintain continuous proactive search for, and dialogue with, qualified candidates</w:t>
      </w:r>
      <w:r>
        <w:t xml:space="preserve"> in case new resources are required.</w:t>
      </w:r>
    </w:p>
    <w:p w14:paraId="75055978" w14:textId="77777777" w:rsidR="00DC2EF8" w:rsidRPr="00C450FE" w:rsidRDefault="00DC2EF8" w:rsidP="00DC2EF8">
      <w:pPr>
        <w:pStyle w:val="Bullet"/>
      </w:pPr>
      <w:r w:rsidRPr="00C450FE">
        <w:t xml:space="preserve">Monitor conditions and trends in the labor marketplace to project availability of </w:t>
      </w:r>
      <w:r>
        <w:t>future FOIA support staff</w:t>
      </w:r>
      <w:r w:rsidRPr="00C450FE">
        <w:t>.</w:t>
      </w:r>
    </w:p>
    <w:p w14:paraId="69463B70" w14:textId="77777777" w:rsidR="00DC2EF8" w:rsidRDefault="00DC2EF8" w:rsidP="00DC2EF8">
      <w:r w:rsidRPr="009A0E36">
        <w:t>We will ensure our key personnel are updated with the latest FOIA law changes and processing best practices via our FOIA/PA Law trainings with Dick Huff, the former co</w:t>
      </w:r>
      <w:r>
        <w:t>-</w:t>
      </w:r>
      <w:r w:rsidRPr="009A0E36">
        <w:t xml:space="preserve">director of the Office of Information Policy (OIP), as needed.  Further, we will ensure our key personnel are taking full advantage of the </w:t>
      </w:r>
      <w:r>
        <w:t>VA’s</w:t>
      </w:r>
      <w:r w:rsidRPr="009A0E36">
        <w:t xml:space="preserve"> electronic FOIA management solution, </w:t>
      </w:r>
      <w:proofErr w:type="spellStart"/>
      <w:r w:rsidRPr="009A0E36">
        <w:t>FOIAXpress</w:t>
      </w:r>
      <w:proofErr w:type="spellEnd"/>
      <w:r w:rsidRPr="009A0E36">
        <w:t xml:space="preserve">, to efficiently and </w:t>
      </w:r>
      <w:r w:rsidRPr="009A0E36">
        <w:lastRenderedPageBreak/>
        <w:t xml:space="preserve">correctly process requests by providing </w:t>
      </w:r>
      <w:proofErr w:type="spellStart"/>
      <w:r w:rsidRPr="009A0E36">
        <w:t>FOIAXpress</w:t>
      </w:r>
      <w:proofErr w:type="spellEnd"/>
      <w:r w:rsidRPr="009A0E36">
        <w:t xml:space="preserve"> refresher trainings as needed.</w:t>
      </w:r>
      <w:r>
        <w:t xml:space="preserve">  Our staff will further be supported by Mr. Ben McEachin, a FOIA process expert who has 10 </w:t>
      </w:r>
      <w:proofErr w:type="gramStart"/>
      <w:r>
        <w:t>year</w:t>
      </w:r>
      <w:proofErr w:type="gramEnd"/>
      <w:r>
        <w:t xml:space="preserve"> of direct experience working within the VA FOIA environment.  Mr. McEachin will </w:t>
      </w:r>
      <w:proofErr w:type="gramStart"/>
      <w:r>
        <w:t>insure</w:t>
      </w:r>
      <w:proofErr w:type="gramEnd"/>
      <w:r>
        <w:t xml:space="preserve"> our staff fully understand the current VA SOP for FOIA, offer suggestions for efficiency improvements to the process, and insure our staff can efficiently navigate through the wealth of VA resources.  </w:t>
      </w:r>
    </w:p>
    <w:p w14:paraId="175A78F1" w14:textId="77777777" w:rsidR="00DC2EF8" w:rsidRDefault="00DC2EF8"/>
    <w:sectPr w:rsidR="00DC2EF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F7539" w14:textId="77777777" w:rsidR="00E23530" w:rsidRDefault="00E23530" w:rsidP="00BF5654">
      <w:pPr>
        <w:spacing w:before="0" w:after="0"/>
      </w:pPr>
      <w:r>
        <w:separator/>
      </w:r>
    </w:p>
  </w:endnote>
  <w:endnote w:type="continuationSeparator" w:id="0">
    <w:p w14:paraId="7151B214" w14:textId="77777777" w:rsidR="00E23530" w:rsidRDefault="00E23530" w:rsidP="00BF56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C764" w14:textId="77777777" w:rsidR="00BF5654" w:rsidRDefault="00BF5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36EDA" w14:textId="77777777" w:rsidR="00BF5654" w:rsidRDefault="00BF5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3C7F9" w14:textId="77777777" w:rsidR="00BF5654" w:rsidRDefault="00BF5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6B3A2" w14:textId="77777777" w:rsidR="00E23530" w:rsidRDefault="00E23530" w:rsidP="00BF5654">
      <w:pPr>
        <w:spacing w:before="0" w:after="0"/>
      </w:pPr>
      <w:r>
        <w:separator/>
      </w:r>
    </w:p>
  </w:footnote>
  <w:footnote w:type="continuationSeparator" w:id="0">
    <w:p w14:paraId="26F53A62" w14:textId="77777777" w:rsidR="00E23530" w:rsidRDefault="00E23530" w:rsidP="00BF565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7F6F8" w14:textId="77777777" w:rsidR="00BF5654" w:rsidRDefault="00BF5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0586538"/>
      <w:docPartObj>
        <w:docPartGallery w:val="Watermarks"/>
        <w:docPartUnique/>
      </w:docPartObj>
    </w:sdtPr>
    <w:sdtContent>
      <w:p w14:paraId="1B788340" w14:textId="017AB4E5" w:rsidR="00BF5654" w:rsidRDefault="00BF5654">
        <w:pPr>
          <w:pStyle w:val="Header"/>
        </w:pPr>
        <w:r>
          <w:rPr>
            <w:noProof/>
          </w:rPr>
          <w:pict w14:anchorId="32FB8C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5" type="#_x0000_t136" style="position:absolute;left:0;text-align:left;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702F" w14:textId="77777777" w:rsidR="00BF5654" w:rsidRDefault="00BF5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D0CB8"/>
    <w:multiLevelType w:val="hybridMultilevel"/>
    <w:tmpl w:val="F70666E2"/>
    <w:lvl w:ilvl="0" w:tplc="4814797A">
      <w:start w:val="1"/>
      <w:numFmt w:val="bullet"/>
      <w:pStyle w:val="Bullet"/>
      <w:lvlText w:val=""/>
      <w:lvlJc w:val="left"/>
      <w:pPr>
        <w:ind w:left="720" w:hanging="360"/>
      </w:pPr>
      <w:rPr>
        <w:rFonts w:ascii="Wingdings" w:hAnsi="Wingdings"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30872"/>
    <w:multiLevelType w:val="hybridMultilevel"/>
    <w:tmpl w:val="47F4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415D3"/>
    <w:multiLevelType w:val="hybridMultilevel"/>
    <w:tmpl w:val="F7F87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E4E6884"/>
    <w:multiLevelType w:val="hybridMultilevel"/>
    <w:tmpl w:val="A9EC4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D76F1D"/>
    <w:multiLevelType w:val="hybridMultilevel"/>
    <w:tmpl w:val="FEAE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079126">
    <w:abstractNumId w:val="0"/>
  </w:num>
  <w:num w:numId="2" w16cid:durableId="1839224133">
    <w:abstractNumId w:val="4"/>
  </w:num>
  <w:num w:numId="3" w16cid:durableId="1811513115">
    <w:abstractNumId w:val="1"/>
  </w:num>
  <w:num w:numId="4" w16cid:durableId="329405000">
    <w:abstractNumId w:val="3"/>
  </w:num>
  <w:num w:numId="5" w16cid:durableId="225998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F8"/>
    <w:rsid w:val="000F2A66"/>
    <w:rsid w:val="00BF5654"/>
    <w:rsid w:val="00DC2EF8"/>
    <w:rsid w:val="00E2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93C42"/>
  <w15:chartTrackingRefBased/>
  <w15:docId w15:val="{DA24774A-176E-436F-8E4B-09AD84D1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EF8"/>
    <w:pPr>
      <w:spacing w:before="120" w:after="120" w:line="240" w:lineRule="auto"/>
      <w:jc w:val="both"/>
    </w:pPr>
    <w:rPr>
      <w:rFonts w:ascii="Times New Roman" w:hAnsi="Times New Roman"/>
      <w:kern w:val="0"/>
      <w:szCs w:val="22"/>
      <w14:ligatures w14:val="none"/>
    </w:rPr>
  </w:style>
  <w:style w:type="paragraph" w:styleId="Heading1">
    <w:name w:val="heading 1"/>
    <w:aliases w:val="1 ghost,g"/>
    <w:basedOn w:val="Normal"/>
    <w:next w:val="Normal"/>
    <w:link w:val="Heading1Char"/>
    <w:uiPriority w:val="9"/>
    <w:qFormat/>
    <w:rsid w:val="00DC2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2 headline,h"/>
    <w:basedOn w:val="Normal"/>
    <w:next w:val="Normal"/>
    <w:link w:val="Heading2Char"/>
    <w:uiPriority w:val="9"/>
    <w:unhideWhenUsed/>
    <w:qFormat/>
    <w:rsid w:val="00DC2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3 bullet,b,2"/>
    <w:basedOn w:val="Normal"/>
    <w:next w:val="Normal"/>
    <w:link w:val="Heading3Char"/>
    <w:uiPriority w:val="9"/>
    <w:unhideWhenUsed/>
    <w:qFormat/>
    <w:rsid w:val="00DC2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aliases w:val="4 dash,d"/>
    <w:basedOn w:val="Normal"/>
    <w:next w:val="Normal"/>
    <w:link w:val="Heading4Char"/>
    <w:uiPriority w:val="9"/>
    <w:unhideWhenUsed/>
    <w:qFormat/>
    <w:rsid w:val="00DC2EF8"/>
    <w:pPr>
      <w:keepNext/>
      <w:keepLines/>
      <w:spacing w:before="80" w:after="40"/>
      <w:outlineLvl w:val="3"/>
    </w:pPr>
    <w:rPr>
      <w:rFonts w:eastAsiaTheme="majorEastAsia" w:cstheme="majorBidi"/>
      <w:i/>
      <w:iCs/>
      <w:color w:val="2F5496" w:themeColor="accent1" w:themeShade="BF"/>
    </w:rPr>
  </w:style>
  <w:style w:type="paragraph" w:styleId="Heading5">
    <w:name w:val="heading 5"/>
    <w:aliases w:val="5 sub-bullet,sb,4"/>
    <w:basedOn w:val="Normal"/>
    <w:next w:val="Normal"/>
    <w:link w:val="Heading5Char"/>
    <w:uiPriority w:val="9"/>
    <w:unhideWhenUsed/>
    <w:qFormat/>
    <w:rsid w:val="00DC2EF8"/>
    <w:pPr>
      <w:keepNext/>
      <w:keepLines/>
      <w:spacing w:before="80" w:after="40"/>
      <w:outlineLvl w:val="4"/>
    </w:pPr>
    <w:rPr>
      <w:rFonts w:eastAsiaTheme="majorEastAsia" w:cstheme="majorBidi"/>
      <w:color w:val="2F5496" w:themeColor="accent1" w:themeShade="BF"/>
    </w:rPr>
  </w:style>
  <w:style w:type="paragraph" w:styleId="Heading6">
    <w:name w:val="heading 6"/>
    <w:aliases w:val="sub-dash,sd,5"/>
    <w:basedOn w:val="Normal"/>
    <w:next w:val="Normal"/>
    <w:link w:val="Heading6Char"/>
    <w:uiPriority w:val="9"/>
    <w:unhideWhenUsed/>
    <w:qFormat/>
    <w:rsid w:val="00DC2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C2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DC2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DC2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basedOn w:val="DefaultParagraphFont"/>
    <w:link w:val="Heading1"/>
    <w:uiPriority w:val="9"/>
    <w:rsid w:val="00DC2EF8"/>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2 headline Char,h Char"/>
    <w:basedOn w:val="DefaultParagraphFont"/>
    <w:link w:val="Heading2"/>
    <w:uiPriority w:val="9"/>
    <w:rsid w:val="00DC2EF8"/>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3 bullet Char,b Char,2 Char"/>
    <w:basedOn w:val="DefaultParagraphFont"/>
    <w:link w:val="Heading3"/>
    <w:uiPriority w:val="9"/>
    <w:rsid w:val="00DC2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2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2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2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EF8"/>
    <w:rPr>
      <w:rFonts w:eastAsiaTheme="majorEastAsia" w:cstheme="majorBidi"/>
      <w:color w:val="272727" w:themeColor="text1" w:themeTint="D8"/>
    </w:rPr>
  </w:style>
  <w:style w:type="paragraph" w:styleId="Title">
    <w:name w:val="Title"/>
    <w:basedOn w:val="Normal"/>
    <w:next w:val="Normal"/>
    <w:link w:val="TitleChar"/>
    <w:uiPriority w:val="10"/>
    <w:qFormat/>
    <w:rsid w:val="00DC2E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EF8"/>
    <w:pPr>
      <w:spacing w:before="160"/>
      <w:jc w:val="center"/>
    </w:pPr>
    <w:rPr>
      <w:i/>
      <w:iCs/>
      <w:color w:val="404040" w:themeColor="text1" w:themeTint="BF"/>
    </w:rPr>
  </w:style>
  <w:style w:type="character" w:customStyle="1" w:styleId="QuoteChar">
    <w:name w:val="Quote Char"/>
    <w:basedOn w:val="DefaultParagraphFont"/>
    <w:link w:val="Quote"/>
    <w:uiPriority w:val="29"/>
    <w:rsid w:val="00DC2EF8"/>
    <w:rPr>
      <w:i/>
      <w:iCs/>
      <w:color w:val="404040" w:themeColor="text1" w:themeTint="BF"/>
    </w:rPr>
  </w:style>
  <w:style w:type="paragraph" w:styleId="ListParagraph">
    <w:name w:val="List Paragraph"/>
    <w:aliases w:val="05 List Paragraph,10 List Paragraph,3,POCG Table Text"/>
    <w:basedOn w:val="Normal"/>
    <w:link w:val="ListParagraphChar"/>
    <w:uiPriority w:val="34"/>
    <w:qFormat/>
    <w:rsid w:val="00DC2EF8"/>
    <w:pPr>
      <w:ind w:left="720"/>
      <w:contextualSpacing/>
    </w:pPr>
  </w:style>
  <w:style w:type="character" w:styleId="IntenseEmphasis">
    <w:name w:val="Intense Emphasis"/>
    <w:basedOn w:val="DefaultParagraphFont"/>
    <w:uiPriority w:val="21"/>
    <w:qFormat/>
    <w:rsid w:val="00DC2EF8"/>
    <w:rPr>
      <w:i/>
      <w:iCs/>
      <w:color w:val="2F5496" w:themeColor="accent1" w:themeShade="BF"/>
    </w:rPr>
  </w:style>
  <w:style w:type="paragraph" w:styleId="IntenseQuote">
    <w:name w:val="Intense Quote"/>
    <w:basedOn w:val="Normal"/>
    <w:next w:val="Normal"/>
    <w:link w:val="IntenseQuoteChar"/>
    <w:uiPriority w:val="30"/>
    <w:qFormat/>
    <w:rsid w:val="00DC2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2EF8"/>
    <w:rPr>
      <w:i/>
      <w:iCs/>
      <w:color w:val="2F5496" w:themeColor="accent1" w:themeShade="BF"/>
    </w:rPr>
  </w:style>
  <w:style w:type="character" w:styleId="IntenseReference">
    <w:name w:val="Intense Reference"/>
    <w:basedOn w:val="DefaultParagraphFont"/>
    <w:uiPriority w:val="32"/>
    <w:qFormat/>
    <w:rsid w:val="00DC2EF8"/>
    <w:rPr>
      <w:b/>
      <w:bCs/>
      <w:smallCaps/>
      <w:color w:val="2F5496" w:themeColor="accent1" w:themeShade="BF"/>
      <w:spacing w:val="5"/>
    </w:rPr>
  </w:style>
  <w:style w:type="character" w:styleId="CommentReference">
    <w:name w:val="annotation reference"/>
    <w:basedOn w:val="DefaultParagraphFont"/>
    <w:uiPriority w:val="99"/>
    <w:semiHidden/>
    <w:unhideWhenUsed/>
    <w:rsid w:val="00DC2EF8"/>
    <w:rPr>
      <w:sz w:val="16"/>
      <w:szCs w:val="16"/>
    </w:rPr>
  </w:style>
  <w:style w:type="paragraph" w:styleId="CommentText">
    <w:name w:val="annotation text"/>
    <w:basedOn w:val="Normal"/>
    <w:link w:val="CommentTextChar"/>
    <w:uiPriority w:val="99"/>
    <w:unhideWhenUsed/>
    <w:rsid w:val="00DC2EF8"/>
    <w:rPr>
      <w:szCs w:val="20"/>
    </w:rPr>
  </w:style>
  <w:style w:type="character" w:customStyle="1" w:styleId="CommentTextChar">
    <w:name w:val="Comment Text Char"/>
    <w:basedOn w:val="DefaultParagraphFont"/>
    <w:link w:val="CommentText"/>
    <w:uiPriority w:val="99"/>
    <w:rsid w:val="00DC2EF8"/>
    <w:rPr>
      <w:rFonts w:ascii="Times New Roman" w:hAnsi="Times New Roman"/>
      <w:kern w:val="0"/>
      <w:szCs w:val="20"/>
      <w14:ligatures w14:val="none"/>
    </w:rPr>
  </w:style>
  <w:style w:type="paragraph" w:customStyle="1" w:styleId="Bullet">
    <w:name w:val="Bullet"/>
    <w:basedOn w:val="ListParagraph"/>
    <w:link w:val="BulletChar"/>
    <w:uiPriority w:val="99"/>
    <w:qFormat/>
    <w:rsid w:val="00DC2EF8"/>
    <w:pPr>
      <w:numPr>
        <w:numId w:val="1"/>
      </w:numPr>
    </w:pPr>
  </w:style>
  <w:style w:type="character" w:customStyle="1" w:styleId="ListParagraphChar">
    <w:name w:val="List Paragraph Char"/>
    <w:aliases w:val="05 List Paragraph Char,10 List Paragraph Char,3 Char,POCG Table Text Char"/>
    <w:basedOn w:val="DefaultParagraphFont"/>
    <w:link w:val="ListParagraph"/>
    <w:uiPriority w:val="34"/>
    <w:locked/>
    <w:rsid w:val="00DC2EF8"/>
  </w:style>
  <w:style w:type="character" w:customStyle="1" w:styleId="BulletChar">
    <w:name w:val="Bullet Char"/>
    <w:basedOn w:val="DefaultParagraphFont"/>
    <w:link w:val="Bullet"/>
    <w:uiPriority w:val="99"/>
    <w:locked/>
    <w:rsid w:val="00DC2EF8"/>
    <w:rPr>
      <w:rFonts w:ascii="Times New Roman" w:hAnsi="Times New Roman"/>
      <w:kern w:val="0"/>
      <w:szCs w:val="22"/>
      <w14:ligatures w14:val="none"/>
    </w:rPr>
  </w:style>
  <w:style w:type="paragraph" w:styleId="Header">
    <w:name w:val="header"/>
    <w:basedOn w:val="Normal"/>
    <w:link w:val="HeaderChar"/>
    <w:uiPriority w:val="99"/>
    <w:unhideWhenUsed/>
    <w:rsid w:val="00BF5654"/>
    <w:pPr>
      <w:tabs>
        <w:tab w:val="center" w:pos="4680"/>
        <w:tab w:val="right" w:pos="9360"/>
      </w:tabs>
      <w:spacing w:before="0" w:after="0"/>
    </w:pPr>
  </w:style>
  <w:style w:type="character" w:customStyle="1" w:styleId="HeaderChar">
    <w:name w:val="Header Char"/>
    <w:basedOn w:val="DefaultParagraphFont"/>
    <w:link w:val="Header"/>
    <w:uiPriority w:val="99"/>
    <w:rsid w:val="00BF5654"/>
    <w:rPr>
      <w:rFonts w:ascii="Times New Roman" w:hAnsi="Times New Roman"/>
      <w:kern w:val="0"/>
      <w:szCs w:val="22"/>
      <w14:ligatures w14:val="none"/>
    </w:rPr>
  </w:style>
  <w:style w:type="paragraph" w:styleId="Footer">
    <w:name w:val="footer"/>
    <w:basedOn w:val="Normal"/>
    <w:link w:val="FooterChar"/>
    <w:uiPriority w:val="99"/>
    <w:unhideWhenUsed/>
    <w:rsid w:val="00BF5654"/>
    <w:pPr>
      <w:tabs>
        <w:tab w:val="center" w:pos="4680"/>
        <w:tab w:val="right" w:pos="9360"/>
      </w:tabs>
      <w:spacing w:before="0" w:after="0"/>
    </w:pPr>
  </w:style>
  <w:style w:type="character" w:customStyle="1" w:styleId="FooterChar">
    <w:name w:val="Footer Char"/>
    <w:basedOn w:val="DefaultParagraphFont"/>
    <w:link w:val="Footer"/>
    <w:uiPriority w:val="99"/>
    <w:rsid w:val="00BF5654"/>
    <w:rPr>
      <w:rFonts w:ascii="Times New Roman" w:hAnsi="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67ED82-E487-4817-BDFB-DE94CE25FFA9}"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US"/>
        </a:p>
      </dgm:t>
    </dgm:pt>
    <dgm:pt modelId="{BEE2D26D-A34D-47DF-8CB4-CD4A50EB8FA5}">
      <dgm:prSet phldrT="[Text]"/>
      <dgm:spPr/>
      <dgm:t>
        <a:bodyPr/>
        <a:lstStyle/>
        <a:p>
          <a:r>
            <a:rPr lang="en-US"/>
            <a:t>Expert Personnel</a:t>
          </a:r>
        </a:p>
      </dgm:t>
    </dgm:pt>
    <dgm:pt modelId="{7C7C5B0F-C4CC-4310-836C-1FD598A0305C}" type="parTrans" cxnId="{F93351B4-5EA0-4A70-9699-BDE2E477C314}">
      <dgm:prSet/>
      <dgm:spPr/>
      <dgm:t>
        <a:bodyPr/>
        <a:lstStyle/>
        <a:p>
          <a:endParaRPr lang="en-US"/>
        </a:p>
      </dgm:t>
    </dgm:pt>
    <dgm:pt modelId="{8D2FFA57-45AD-4859-A6D1-66D8A1604279}" type="sibTrans" cxnId="{F93351B4-5EA0-4A70-9699-BDE2E477C314}">
      <dgm:prSet/>
      <dgm:spPr/>
      <dgm:t>
        <a:bodyPr/>
        <a:lstStyle/>
        <a:p>
          <a:endParaRPr lang="en-US"/>
        </a:p>
      </dgm:t>
    </dgm:pt>
    <dgm:pt modelId="{77D16D3A-1FC2-493C-92DA-BEAB7D83C05D}">
      <dgm:prSet phldrT="[Text]"/>
      <dgm:spPr/>
      <dgm:t>
        <a:bodyPr/>
        <a:lstStyle/>
        <a:p>
          <a:r>
            <a:rPr lang="en-US"/>
            <a:t>FOIA SOP Expertise</a:t>
          </a:r>
        </a:p>
      </dgm:t>
    </dgm:pt>
    <dgm:pt modelId="{BF77CAE8-551F-4067-BE44-394FC63DCD6D}" type="parTrans" cxnId="{5C812AB3-17AF-4740-9DF1-BC086EC907A2}">
      <dgm:prSet/>
      <dgm:spPr/>
      <dgm:t>
        <a:bodyPr/>
        <a:lstStyle/>
        <a:p>
          <a:endParaRPr lang="en-US"/>
        </a:p>
      </dgm:t>
    </dgm:pt>
    <dgm:pt modelId="{920AC5C2-DB85-4D9C-AFC8-426041815041}" type="sibTrans" cxnId="{5C812AB3-17AF-4740-9DF1-BC086EC907A2}">
      <dgm:prSet/>
      <dgm:spPr/>
      <dgm:t>
        <a:bodyPr/>
        <a:lstStyle/>
        <a:p>
          <a:endParaRPr lang="en-US"/>
        </a:p>
      </dgm:t>
    </dgm:pt>
    <dgm:pt modelId="{DDC2BA05-366B-46A3-BB29-2790197D3148}">
      <dgm:prSet phldrT="[Text]"/>
      <dgm:spPr/>
      <dgm:t>
        <a:bodyPr/>
        <a:lstStyle/>
        <a:p>
          <a:r>
            <a:rPr lang="en-US"/>
            <a:t>FOIAXpress Process Expertise</a:t>
          </a:r>
        </a:p>
      </dgm:t>
    </dgm:pt>
    <dgm:pt modelId="{26ECDB4C-6109-4E0A-AE55-A63031991638}" type="parTrans" cxnId="{192BC37A-34D3-41DB-980A-2E93E979A34B}">
      <dgm:prSet/>
      <dgm:spPr/>
      <dgm:t>
        <a:bodyPr/>
        <a:lstStyle/>
        <a:p>
          <a:endParaRPr lang="en-US"/>
        </a:p>
      </dgm:t>
    </dgm:pt>
    <dgm:pt modelId="{CC0A10B6-F79F-4D31-89C2-94122A56DD4C}" type="sibTrans" cxnId="{192BC37A-34D3-41DB-980A-2E93E979A34B}">
      <dgm:prSet/>
      <dgm:spPr/>
      <dgm:t>
        <a:bodyPr/>
        <a:lstStyle/>
        <a:p>
          <a:endParaRPr lang="en-US"/>
        </a:p>
      </dgm:t>
    </dgm:pt>
    <dgm:pt modelId="{B1274C53-3463-4D2A-903D-F18ED702F613}" type="pres">
      <dgm:prSet presAssocID="{F667ED82-E487-4817-BDFB-DE94CE25FFA9}" presName="Name0" presStyleCnt="0">
        <dgm:presLayoutVars>
          <dgm:chMax val="7"/>
          <dgm:chPref val="7"/>
          <dgm:dir/>
          <dgm:animLvl val="lvl"/>
        </dgm:presLayoutVars>
      </dgm:prSet>
      <dgm:spPr/>
    </dgm:pt>
    <dgm:pt modelId="{AF11D60A-A87B-44F3-85A4-7640A502361D}" type="pres">
      <dgm:prSet presAssocID="{BEE2D26D-A34D-47DF-8CB4-CD4A50EB8FA5}" presName="Accent1" presStyleCnt="0"/>
      <dgm:spPr/>
    </dgm:pt>
    <dgm:pt modelId="{8A2BEAF9-BA25-44DF-80C3-6B17BB11C0B7}" type="pres">
      <dgm:prSet presAssocID="{BEE2D26D-A34D-47DF-8CB4-CD4A50EB8FA5}" presName="Accent" presStyleLbl="node1" presStyleIdx="0" presStyleCnt="3"/>
      <dgm:spPr/>
    </dgm:pt>
    <dgm:pt modelId="{8E8E6192-9845-4CC8-8E9F-841BE6399CC7}" type="pres">
      <dgm:prSet presAssocID="{BEE2D26D-A34D-47DF-8CB4-CD4A50EB8FA5}" presName="Parent1" presStyleLbl="revTx" presStyleIdx="0" presStyleCnt="3">
        <dgm:presLayoutVars>
          <dgm:chMax val="1"/>
          <dgm:chPref val="1"/>
          <dgm:bulletEnabled val="1"/>
        </dgm:presLayoutVars>
      </dgm:prSet>
      <dgm:spPr/>
    </dgm:pt>
    <dgm:pt modelId="{F6E8E84A-196A-4BCE-AFAB-F95B59732BEE}" type="pres">
      <dgm:prSet presAssocID="{77D16D3A-1FC2-493C-92DA-BEAB7D83C05D}" presName="Accent2" presStyleCnt="0"/>
      <dgm:spPr/>
    </dgm:pt>
    <dgm:pt modelId="{875A4C39-3CB0-47BC-B7B0-BD97B0EC943A}" type="pres">
      <dgm:prSet presAssocID="{77D16D3A-1FC2-493C-92DA-BEAB7D83C05D}" presName="Accent" presStyleLbl="node1" presStyleIdx="1" presStyleCnt="3" custLinFactNeighborX="2576" custLinFactNeighborY="-644"/>
      <dgm:spPr/>
    </dgm:pt>
    <dgm:pt modelId="{91B509D6-3987-4EFF-B9B4-828A87A89DF9}" type="pres">
      <dgm:prSet presAssocID="{77D16D3A-1FC2-493C-92DA-BEAB7D83C05D}" presName="Parent2" presStyleLbl="revTx" presStyleIdx="1" presStyleCnt="3">
        <dgm:presLayoutVars>
          <dgm:chMax val="1"/>
          <dgm:chPref val="1"/>
          <dgm:bulletEnabled val="1"/>
        </dgm:presLayoutVars>
      </dgm:prSet>
      <dgm:spPr/>
    </dgm:pt>
    <dgm:pt modelId="{6349D498-7423-4EE9-A483-0BDA277C221F}" type="pres">
      <dgm:prSet presAssocID="{DDC2BA05-366B-46A3-BB29-2790197D3148}" presName="Accent3" presStyleCnt="0"/>
      <dgm:spPr/>
    </dgm:pt>
    <dgm:pt modelId="{7FFF08DD-2540-4641-A44B-8CDB3CC69153}" type="pres">
      <dgm:prSet presAssocID="{DDC2BA05-366B-46A3-BB29-2790197D3148}" presName="Accent" presStyleLbl="node1" presStyleIdx="2" presStyleCnt="3"/>
      <dgm:spPr/>
    </dgm:pt>
    <dgm:pt modelId="{B40FF69F-14D0-4EC4-B9F6-7007DD123481}" type="pres">
      <dgm:prSet presAssocID="{DDC2BA05-366B-46A3-BB29-2790197D3148}" presName="Parent3" presStyleLbl="revTx" presStyleIdx="2" presStyleCnt="3">
        <dgm:presLayoutVars>
          <dgm:chMax val="1"/>
          <dgm:chPref val="1"/>
          <dgm:bulletEnabled val="1"/>
        </dgm:presLayoutVars>
      </dgm:prSet>
      <dgm:spPr/>
    </dgm:pt>
  </dgm:ptLst>
  <dgm:cxnLst>
    <dgm:cxn modelId="{192BC37A-34D3-41DB-980A-2E93E979A34B}" srcId="{F667ED82-E487-4817-BDFB-DE94CE25FFA9}" destId="{DDC2BA05-366B-46A3-BB29-2790197D3148}" srcOrd="2" destOrd="0" parTransId="{26ECDB4C-6109-4E0A-AE55-A63031991638}" sibTransId="{CC0A10B6-F79F-4D31-89C2-94122A56DD4C}"/>
    <dgm:cxn modelId="{226C809E-9F84-48B4-BB9C-444846F07BBA}" type="presOf" srcId="{BEE2D26D-A34D-47DF-8CB4-CD4A50EB8FA5}" destId="{8E8E6192-9845-4CC8-8E9F-841BE6399CC7}" srcOrd="0" destOrd="0" presId="urn:microsoft.com/office/officeart/2009/layout/CircleArrowProcess"/>
    <dgm:cxn modelId="{1DE78DA9-427F-4F90-A861-180637F8AA16}" type="presOf" srcId="{F667ED82-E487-4817-BDFB-DE94CE25FFA9}" destId="{B1274C53-3463-4D2A-903D-F18ED702F613}" srcOrd="0" destOrd="0" presId="urn:microsoft.com/office/officeart/2009/layout/CircleArrowProcess"/>
    <dgm:cxn modelId="{5C812AB3-17AF-4740-9DF1-BC086EC907A2}" srcId="{F667ED82-E487-4817-BDFB-DE94CE25FFA9}" destId="{77D16D3A-1FC2-493C-92DA-BEAB7D83C05D}" srcOrd="1" destOrd="0" parTransId="{BF77CAE8-551F-4067-BE44-394FC63DCD6D}" sibTransId="{920AC5C2-DB85-4D9C-AFC8-426041815041}"/>
    <dgm:cxn modelId="{F93351B4-5EA0-4A70-9699-BDE2E477C314}" srcId="{F667ED82-E487-4817-BDFB-DE94CE25FFA9}" destId="{BEE2D26D-A34D-47DF-8CB4-CD4A50EB8FA5}" srcOrd="0" destOrd="0" parTransId="{7C7C5B0F-C4CC-4310-836C-1FD598A0305C}" sibTransId="{8D2FFA57-45AD-4859-A6D1-66D8A1604279}"/>
    <dgm:cxn modelId="{0EB8B8B4-16C0-4A40-B2BE-4A79777351E8}" type="presOf" srcId="{DDC2BA05-366B-46A3-BB29-2790197D3148}" destId="{B40FF69F-14D0-4EC4-B9F6-7007DD123481}" srcOrd="0" destOrd="0" presId="urn:microsoft.com/office/officeart/2009/layout/CircleArrowProcess"/>
    <dgm:cxn modelId="{CC03A9EA-83B3-4147-9582-001003BFAFA7}" type="presOf" srcId="{77D16D3A-1FC2-493C-92DA-BEAB7D83C05D}" destId="{91B509D6-3987-4EFF-B9B4-828A87A89DF9}" srcOrd="0" destOrd="0" presId="urn:microsoft.com/office/officeart/2009/layout/CircleArrowProcess"/>
    <dgm:cxn modelId="{6C927DCC-AF8C-40EE-9CAF-714269BE7041}" type="presParOf" srcId="{B1274C53-3463-4D2A-903D-F18ED702F613}" destId="{AF11D60A-A87B-44F3-85A4-7640A502361D}" srcOrd="0" destOrd="0" presId="urn:microsoft.com/office/officeart/2009/layout/CircleArrowProcess"/>
    <dgm:cxn modelId="{0FECA66D-4612-496E-BC32-CAC78384B6C5}" type="presParOf" srcId="{AF11D60A-A87B-44F3-85A4-7640A502361D}" destId="{8A2BEAF9-BA25-44DF-80C3-6B17BB11C0B7}" srcOrd="0" destOrd="0" presId="urn:microsoft.com/office/officeart/2009/layout/CircleArrowProcess"/>
    <dgm:cxn modelId="{6752CB72-0B17-486D-BFED-68EDF93CA66E}" type="presParOf" srcId="{B1274C53-3463-4D2A-903D-F18ED702F613}" destId="{8E8E6192-9845-4CC8-8E9F-841BE6399CC7}" srcOrd="1" destOrd="0" presId="urn:microsoft.com/office/officeart/2009/layout/CircleArrowProcess"/>
    <dgm:cxn modelId="{EDE29EAF-746C-4267-B723-90F6603AB8C8}" type="presParOf" srcId="{B1274C53-3463-4D2A-903D-F18ED702F613}" destId="{F6E8E84A-196A-4BCE-AFAB-F95B59732BEE}" srcOrd="2" destOrd="0" presId="urn:microsoft.com/office/officeart/2009/layout/CircleArrowProcess"/>
    <dgm:cxn modelId="{C83C0219-7F3A-43D0-933A-66AA5EAB9282}" type="presParOf" srcId="{F6E8E84A-196A-4BCE-AFAB-F95B59732BEE}" destId="{875A4C39-3CB0-47BC-B7B0-BD97B0EC943A}" srcOrd="0" destOrd="0" presId="urn:microsoft.com/office/officeart/2009/layout/CircleArrowProcess"/>
    <dgm:cxn modelId="{03461A23-D153-45A1-810F-12EB95F1BB73}" type="presParOf" srcId="{B1274C53-3463-4D2A-903D-F18ED702F613}" destId="{91B509D6-3987-4EFF-B9B4-828A87A89DF9}" srcOrd="3" destOrd="0" presId="urn:microsoft.com/office/officeart/2009/layout/CircleArrowProcess"/>
    <dgm:cxn modelId="{F68DFAF6-FE93-4536-A623-07005F1DB43A}" type="presParOf" srcId="{B1274C53-3463-4D2A-903D-F18ED702F613}" destId="{6349D498-7423-4EE9-A483-0BDA277C221F}" srcOrd="4" destOrd="0" presId="urn:microsoft.com/office/officeart/2009/layout/CircleArrowProcess"/>
    <dgm:cxn modelId="{0EDE0A0B-9070-42A8-ACE5-8741DDC75A62}" type="presParOf" srcId="{6349D498-7423-4EE9-A483-0BDA277C221F}" destId="{7FFF08DD-2540-4641-A44B-8CDB3CC69153}" srcOrd="0" destOrd="0" presId="urn:microsoft.com/office/officeart/2009/layout/CircleArrowProcess"/>
    <dgm:cxn modelId="{885B9F84-ACD7-4CB2-B8BD-3069AB44F200}" type="presParOf" srcId="{B1274C53-3463-4D2A-903D-F18ED702F613}" destId="{B40FF69F-14D0-4EC4-B9F6-7007DD123481}" srcOrd="5" destOrd="0" presId="urn:microsoft.com/office/officeart/2009/layout/CircleArrow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BEAF9-BA25-44DF-80C3-6B17BB11C0B7}">
      <dsp:nvSpPr>
        <dsp:cNvPr id="0" name=""/>
        <dsp:cNvSpPr/>
      </dsp:nvSpPr>
      <dsp:spPr>
        <a:xfrm>
          <a:off x="673507" y="389421"/>
          <a:ext cx="1165559" cy="1165737"/>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8E6192-9845-4CC8-8E9F-841BE6399CC7}">
      <dsp:nvSpPr>
        <dsp:cNvPr id="0" name=""/>
        <dsp:cNvSpPr/>
      </dsp:nvSpPr>
      <dsp:spPr>
        <a:xfrm>
          <a:off x="931134" y="810288"/>
          <a:ext cx="647679" cy="323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Expert Personnel</a:t>
          </a:r>
        </a:p>
      </dsp:txBody>
      <dsp:txXfrm>
        <a:off x="931134" y="810288"/>
        <a:ext cx="647679" cy="323762"/>
      </dsp:txXfrm>
    </dsp:sp>
    <dsp:sp modelId="{875A4C39-3CB0-47BC-B7B0-BD97B0EC943A}">
      <dsp:nvSpPr>
        <dsp:cNvPr id="0" name=""/>
        <dsp:cNvSpPr/>
      </dsp:nvSpPr>
      <dsp:spPr>
        <a:xfrm>
          <a:off x="379802" y="1051716"/>
          <a:ext cx="1165559" cy="1165737"/>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B509D6-3987-4EFF-B9B4-828A87A89DF9}">
      <dsp:nvSpPr>
        <dsp:cNvPr id="0" name=""/>
        <dsp:cNvSpPr/>
      </dsp:nvSpPr>
      <dsp:spPr>
        <a:xfrm>
          <a:off x="608717" y="1483965"/>
          <a:ext cx="647679" cy="323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FOIA SOP Expertise</a:t>
          </a:r>
        </a:p>
      </dsp:txBody>
      <dsp:txXfrm>
        <a:off x="608717" y="1483965"/>
        <a:ext cx="647679" cy="323762"/>
      </dsp:txXfrm>
    </dsp:sp>
    <dsp:sp modelId="{7FFF08DD-2540-4641-A44B-8CDB3CC69153}">
      <dsp:nvSpPr>
        <dsp:cNvPr id="0" name=""/>
        <dsp:cNvSpPr/>
      </dsp:nvSpPr>
      <dsp:spPr>
        <a:xfrm>
          <a:off x="756464" y="1809180"/>
          <a:ext cx="1001396" cy="1001797"/>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0FF69F-14D0-4EC4-B9F6-7007DD123481}">
      <dsp:nvSpPr>
        <dsp:cNvPr id="0" name=""/>
        <dsp:cNvSpPr/>
      </dsp:nvSpPr>
      <dsp:spPr>
        <a:xfrm>
          <a:off x="932666" y="2158610"/>
          <a:ext cx="647679" cy="3237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FOIAXpress Process Expertise</a:t>
          </a:r>
        </a:p>
      </dsp:txBody>
      <dsp:txXfrm>
        <a:off x="932666" y="2158610"/>
        <a:ext cx="647679" cy="323762"/>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2912</Words>
  <Characters>16601</Characters>
  <Application>Microsoft Office Word</Application>
  <DocSecurity>0</DocSecurity>
  <Lines>138</Lines>
  <Paragraphs>38</Paragraphs>
  <ScaleCrop>false</ScaleCrop>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stock</dc:creator>
  <cp:keywords/>
  <dc:description/>
  <cp:lastModifiedBy>doug stock</cp:lastModifiedBy>
  <cp:revision>2</cp:revision>
  <dcterms:created xsi:type="dcterms:W3CDTF">2025-02-03T16:03:00Z</dcterms:created>
  <dcterms:modified xsi:type="dcterms:W3CDTF">2025-02-03T16:15:00Z</dcterms:modified>
</cp:coreProperties>
</file>