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jc w:val="center"/>
      </w:pPr>
      <w:r>
        <w:rPr>
          <w:rFonts w:ascii="Arial" w:cs="Arial" w:eastAsia="Arial" w:hAnsi="Arial"/>
          <w:b/>
          <w:bCs/>
          <w:color w:val="B8962E"/>
          <w:sz w:val="72"/>
          <w:szCs w:val="72"/>
        </w:rPr>
        <w:t xml:space="preserve">MUSIGOD</w:t>
      </w:r>
    </w:p>
    <w:p>
      <w:pPr>
        <w:spacing w:after="120" w:before="120"/>
        <w:jc w:val="center"/>
      </w:pPr>
      <w:r>
        <w:rPr>
          <w:rFonts w:ascii="Arial" w:cs="Arial" w:eastAsia="Arial" w:hAnsi="Arial"/>
          <w:b/>
          <w:bCs/>
          <w:color w:val="0D2137"/>
          <w:sz w:val="40"/>
          <w:szCs w:val="40"/>
        </w:rPr>
        <w:t xml:space="preserve">PUBLISHING ADMINISTRATION</w:t>
      </w:r>
    </w:p>
    <w:p>
      <w:pPr>
        <w:spacing w:after="240" w:before="0"/>
        <w:jc w:val="center"/>
      </w:pPr>
      <w:r>
        <w:rPr>
          <w:rFonts w:ascii="Arial" w:cs="Arial" w:eastAsia="Arial" w:hAnsi="Arial"/>
          <w:b/>
          <w:bCs/>
          <w:color w:val="0D2137"/>
          <w:sz w:val="40"/>
          <w:szCs w:val="40"/>
        </w:rPr>
        <w:t xml:space="preserve">COMPENDIUM</w:t>
      </w:r>
    </w:p>
    <w:p>
      <w:pPr>
        <w:pBdr>
          <w:bottom w:val="single" w:color="B8962E" w:sz="6" w:space="1"/>
        </w:pBdr>
        <w:spacing w:after="240" w:before="240"/>
      </w:pPr>
      <w:r>
        <w:t xml:space="preserve"/>
      </w:r>
    </w:p>
    <w:p>
      <w:pPr>
        <w:spacing w:after="120" w:before="240"/>
        <w:jc w:val="center"/>
      </w:pPr>
      <w:r>
        <w:rPr>
          <w:rFonts w:ascii="Arial" w:cs="Arial" w:eastAsia="Arial" w:hAnsi="Arial"/>
          <w:i/>
          <w:iCs/>
          <w:color w:val="4A4A4A"/>
          <w:sz w:val="28"/>
          <w:szCs w:val="28"/>
        </w:rPr>
        <w:t xml:space="preserve">Executive Management Edition</w:t>
      </w:r>
    </w:p>
    <w:p>
      <w:pPr>
        <w:spacing w:after="120" w:before="120"/>
        <w:jc w:val="center"/>
      </w:pPr>
      <w:r>
        <w:rPr>
          <w:rFonts w:ascii="Arial" w:cs="Arial" w:eastAsia="Arial" w:hAnsi="Arial"/>
          <w:color w:val="4A4A4A"/>
          <w:sz w:val="22"/>
          <w:szCs w:val="22"/>
        </w:rPr>
        <w:t xml:space="preserve">Confidential &amp; Proprietary</w:t>
      </w:r>
    </w:p>
    <w:p>
      <w:pPr>
        <w:spacing w:before="120"/>
        <w:jc w:val="center"/>
      </w:pPr>
      <w:r>
        <w:rPr>
          <w:rFonts w:ascii="Arial" w:cs="Arial" w:eastAsia="Arial" w:hAnsi="Arial"/>
          <w:color w:val="4A4A4A"/>
          <w:sz w:val="20"/>
          <w:szCs w:val="20"/>
        </w:rPr>
        <w:t xml:space="preserve">© 2025 MusiGod. All Rights Reserved.</w:t>
      </w:r>
    </w:p>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1: COPYRIGHT BASICS</w:t>
      </w:r>
    </w:p>
    <w:p>
      <w:pPr>
        <w:pStyle w:val="Heading2"/>
        <w:spacing w:after="180" w:before="360"/>
      </w:pPr>
      <w:r>
        <w:rPr>
          <w:rFonts w:ascii="Arial" w:cs="Arial" w:eastAsia="Arial" w:hAnsi="Arial"/>
          <w:b/>
          <w:bCs/>
          <w:color w:val="0D2137"/>
          <w:sz w:val="28"/>
          <w:szCs w:val="28"/>
        </w:rPr>
        <w:t xml:space="preserve">Introduction</w:t>
      </w:r>
    </w:p>
    <w:p>
      <w:pPr>
        <w:spacing w:after="120" w:before="80"/>
        <w:jc w:val="both"/>
      </w:pPr>
      <w:r>
        <w:rPr>
          <w:rFonts w:ascii="Arial" w:cs="Arial" w:eastAsia="Arial" w:hAnsi="Arial"/>
          <w:color w:val="1A1A1A"/>
          <w:sz w:val="22"/>
          <w:szCs w:val="22"/>
        </w:rPr>
        <w:t xml:space="preserve">Copyright is the legal foundation upon which the entire music publishing industry rests. For executive management, understanding copyright is not optional—it is the baseline literacy required to evaluate catalog value, assess risk, structure deals, and exercise fiduciary responsibility over intellectual property assets. Every revenue stream in music publishing—performance royalties, mechanical royalties, synchronization fees, print licenses, digital distributions—flows directly from the rights conferred by copyright law. Without a firm command of these fundamentals, no executive can make sound decisions about acquisition, administration, exploitation, or enforcement.</w:t>
      </w:r>
    </w:p>
    <w:p>
      <w:pPr>
        <w:spacing w:after="120" w:before="80"/>
        <w:jc w:val="both"/>
      </w:pPr>
      <w:r>
        <w:rPr>
          <w:rFonts w:ascii="Arial" w:cs="Arial" w:eastAsia="Arial" w:hAnsi="Arial"/>
          <w:color w:val="1A1A1A"/>
          <w:sz w:val="22"/>
          <w:szCs w:val="22"/>
        </w:rPr>
        <w:t xml:space="preserve">This chapter provides a rigorous overview of copyright as it applies to musical works, with particular attention to those aspects of the law that directly govern publishing administration: duration, ownership, registration, termination, infringement, and the scope of exclusive rights.</w:t>
      </w:r>
    </w:p>
    <w:p>
      <w:pPr>
        <w:pStyle w:val="Heading2"/>
        <w:spacing w:after="180" w:before="360"/>
      </w:pPr>
      <w:r>
        <w:rPr>
          <w:rFonts w:ascii="Arial" w:cs="Arial" w:eastAsia="Arial" w:hAnsi="Arial"/>
          <w:b/>
          <w:bCs/>
          <w:color w:val="0D2137"/>
          <w:sz w:val="28"/>
          <w:szCs w:val="28"/>
        </w:rPr>
        <w:t xml:space="preserve">The History of Copyright</w:t>
      </w:r>
    </w:p>
    <w:p>
      <w:pPr>
        <w:spacing w:after="120" w:before="80"/>
        <w:jc w:val="both"/>
      </w:pPr>
      <w:r>
        <w:rPr>
          <w:rFonts w:ascii="Arial" w:cs="Arial" w:eastAsia="Arial" w:hAnsi="Arial"/>
          <w:color w:val="1A1A1A"/>
          <w:sz w:val="22"/>
          <w:szCs w:val="22"/>
        </w:rPr>
        <w:t xml:space="preserve">Copyright protection for creative works traces its origins to the Statute of Anne, enacted by the British Parliament in 1710—the first statutory copyright law in the world. That statute granted authors a 14-year term of exclusive rights, renewable for a second 14-year term. The underlying policy rationale was straightforward: by granting creators a limited monopoly over their work, the state incentivized the production of new creative output while ultimately enriching the public domain.</w:t>
      </w:r>
    </w:p>
    <w:p>
      <w:pPr>
        <w:spacing w:after="120" w:before="80"/>
        <w:jc w:val="both"/>
      </w:pPr>
      <w:r>
        <w:rPr>
          <w:rFonts w:ascii="Arial" w:cs="Arial" w:eastAsia="Arial" w:hAnsi="Arial"/>
          <w:color w:val="1A1A1A"/>
          <w:sz w:val="22"/>
          <w:szCs w:val="22"/>
        </w:rPr>
        <w:t xml:space="preserve">In the United States, copyright protection was enshrined in the Constitution itself. Article I, Section 8 grants Congress the power to promote the progress of science and useful arts by securing for limited times to authors and inventors the exclusive right to their respective writings and discoveries. The first U.S. Copyright Act was passed in 1790, establishing a 14-year term with a 14-year renewal option. The law has been revised numerous times since, most comprehensively in 1909 and again in 1976, with significant amendments added by the Sonny Bono Copyright Term Extension Act of 1998 and the Music Modernization Act of 2018.</w:t>
      </w:r>
    </w:p>
    <w:p>
      <w:pPr>
        <w:spacing w:after="120" w:before="80"/>
        <w:jc w:val="both"/>
      </w:pPr>
      <w:r>
        <w:rPr>
          <w:rFonts w:ascii="Arial" w:cs="Arial" w:eastAsia="Arial" w:hAnsi="Arial"/>
          <w:color w:val="1A1A1A"/>
          <w:sz w:val="22"/>
          <w:szCs w:val="22"/>
        </w:rPr>
        <w:t xml:space="preserve">For musical works specifically, the critical modern watershed was the Copyright Act of 1976, which took effect on January 1, 1978. That statute fundamentally restructured U.S. copyright law—eliminating the dual system of state common law copyright and federal statutory copyright, extending protection to unpublished works, establishing a single unified term tied to the author's life, and codifying the exclusive rights of copyright owners in explicit statutory language.</w:t>
      </w:r>
    </w:p>
    <w:p>
      <w:pPr>
        <w:pStyle w:val="Heading2"/>
        <w:spacing w:after="180" w:before="360"/>
      </w:pPr>
      <w:r>
        <w:rPr>
          <w:rFonts w:ascii="Arial" w:cs="Arial" w:eastAsia="Arial" w:hAnsi="Arial"/>
          <w:b/>
          <w:bCs/>
          <w:color w:val="0D2137"/>
          <w:sz w:val="28"/>
          <w:szCs w:val="28"/>
        </w:rPr>
        <w:t xml:space="preserve">Copyright in the United States</w:t>
      </w:r>
    </w:p>
    <w:p>
      <w:pPr>
        <w:spacing w:after="120" w:before="80"/>
        <w:jc w:val="both"/>
      </w:pPr>
      <w:r>
        <w:rPr>
          <w:rFonts w:ascii="Arial" w:cs="Arial" w:eastAsia="Arial" w:hAnsi="Arial"/>
          <w:color w:val="1A1A1A"/>
          <w:sz w:val="22"/>
          <w:szCs w:val="22"/>
        </w:rPr>
        <w:t xml:space="preserve">Under U.S. law, copyright subsists automatically in original works of authorship fixed in any tangible medium of expression. For musical works, this means that copyright attaches the moment a song is written down or recorded—no registration, notice, or other formality is required for protection to vest. This automatic protection covers both the musical composition (the melody and harmony) and the literary work (the lyrics), which are treated as a unified work under copyright law when created together.</w:t>
      </w:r>
    </w:p>
    <w:p>
      <w:pPr>
        <w:spacing w:after="120" w:before="80"/>
        <w:jc w:val="both"/>
      </w:pPr>
      <w:r>
        <w:rPr>
          <w:rFonts w:ascii="Arial" w:cs="Arial" w:eastAsia="Arial" w:hAnsi="Arial"/>
          <w:color w:val="1A1A1A"/>
          <w:sz w:val="22"/>
          <w:szCs w:val="22"/>
        </w:rPr>
        <w:t xml:space="preserve">U.S. copyright law protects two distinct components of a commercially released musical work: (1) the musical composition, owned by the songwriter and typically administered by a music publisher, and (2) the sound recording (also called a master recording), owned by the performing artist or their record label. These are separate and distinct copyrights. A song covered by a new artist creates a new sound recording copyright, even though the underlying musical composition copyright remains unchanged. Publishing administration deals exclusively with the musical composition copyright.</w:t>
      </w:r>
    </w:p>
    <w:p>
      <w:pPr>
        <w:pStyle w:val="Heading2"/>
        <w:spacing w:after="180" w:before="360"/>
      </w:pPr>
      <w:r>
        <w:rPr>
          <w:rFonts w:ascii="Arial" w:cs="Arial" w:eastAsia="Arial" w:hAnsi="Arial"/>
          <w:b/>
          <w:bCs/>
          <w:color w:val="0D2137"/>
          <w:sz w:val="28"/>
          <w:szCs w:val="28"/>
        </w:rPr>
        <w:t xml:space="preserve">The Copyright Act</w:t>
      </w:r>
    </w:p>
    <w:p>
      <w:pPr>
        <w:spacing w:after="120" w:before="80"/>
        <w:jc w:val="both"/>
      </w:pPr>
      <w:r>
        <w:rPr>
          <w:rFonts w:ascii="Arial" w:cs="Arial" w:eastAsia="Arial" w:hAnsi="Arial"/>
          <w:color w:val="1A1A1A"/>
          <w:sz w:val="22"/>
          <w:szCs w:val="22"/>
        </w:rPr>
        <w:t xml:space="preserve">The Copyright Act of 1976 (Title 17 of the United States Code) is the primary federal statute governing copyright in the United States. Its key provisions relevant to music publishing include:</w:t>
      </w:r>
    </w:p>
    <w:p>
      <w:pPr>
        <w:pStyle w:val="ListParagraph"/>
        <w:numPr>
          <w:ilvl w:val="0"/>
          <w:numId w:val="2"/>
        </w:numPr>
        <w:spacing w:after="60" w:before="60"/>
      </w:pPr>
      <w:r>
        <w:rPr>
          <w:rFonts w:ascii="Arial" w:cs="Arial" w:eastAsia="Arial" w:hAnsi="Arial"/>
          <w:color w:val="1A1A1A"/>
          <w:sz w:val="22"/>
          <w:szCs w:val="22"/>
        </w:rPr>
        <w:t xml:space="preserve">Section 101 — Definitions, including the distinction between musical works and sound recordings.</w:t>
      </w:r>
    </w:p>
    <w:p>
      <w:pPr>
        <w:pStyle w:val="ListParagraph"/>
        <w:numPr>
          <w:ilvl w:val="0"/>
          <w:numId w:val="2"/>
        </w:numPr>
        <w:spacing w:after="60" w:before="60"/>
      </w:pPr>
      <w:r>
        <w:rPr>
          <w:rFonts w:ascii="Arial" w:cs="Arial" w:eastAsia="Arial" w:hAnsi="Arial"/>
          <w:color w:val="1A1A1A"/>
          <w:sz w:val="22"/>
          <w:szCs w:val="22"/>
        </w:rPr>
        <w:t xml:space="preserve">Section 102 — Subject matter of copyright; establishes that copyright protects original works of authorship fixed in a tangible medium.</w:t>
      </w:r>
    </w:p>
    <w:p>
      <w:pPr>
        <w:pStyle w:val="ListParagraph"/>
        <w:numPr>
          <w:ilvl w:val="0"/>
          <w:numId w:val="2"/>
        </w:numPr>
        <w:spacing w:after="60" w:before="60"/>
      </w:pPr>
      <w:r>
        <w:rPr>
          <w:rFonts w:ascii="Arial" w:cs="Arial" w:eastAsia="Arial" w:hAnsi="Arial"/>
          <w:color w:val="1A1A1A"/>
          <w:sz w:val="22"/>
          <w:szCs w:val="22"/>
        </w:rPr>
        <w:t xml:space="preserve">Section 106 — Exclusive rights of the copyright owner, including reproduction, distribution, public performance, and creation of derivative works.</w:t>
      </w:r>
    </w:p>
    <w:p>
      <w:pPr>
        <w:pStyle w:val="ListParagraph"/>
        <w:numPr>
          <w:ilvl w:val="0"/>
          <w:numId w:val="2"/>
        </w:numPr>
        <w:spacing w:after="60" w:before="60"/>
      </w:pPr>
      <w:r>
        <w:rPr>
          <w:rFonts w:ascii="Arial" w:cs="Arial" w:eastAsia="Arial" w:hAnsi="Arial"/>
          <w:color w:val="1A1A1A"/>
          <w:sz w:val="22"/>
          <w:szCs w:val="22"/>
        </w:rPr>
        <w:t xml:space="preserve">Section 107 — Fair use doctrine, which limits the exclusive rights of copyright owners.</w:t>
      </w:r>
    </w:p>
    <w:p>
      <w:pPr>
        <w:pStyle w:val="ListParagraph"/>
        <w:numPr>
          <w:ilvl w:val="0"/>
          <w:numId w:val="2"/>
        </w:numPr>
        <w:spacing w:after="60" w:before="60"/>
      </w:pPr>
      <w:r>
        <w:rPr>
          <w:rFonts w:ascii="Arial" w:cs="Arial" w:eastAsia="Arial" w:hAnsi="Arial"/>
          <w:color w:val="1A1A1A"/>
          <w:sz w:val="22"/>
          <w:szCs w:val="22"/>
        </w:rPr>
        <w:t xml:space="preserve">Section 115 — The compulsory mechanical license for making and distributing phonorecords of non-dramatic musical works.</w:t>
      </w:r>
    </w:p>
    <w:p>
      <w:pPr>
        <w:pStyle w:val="ListParagraph"/>
        <w:numPr>
          <w:ilvl w:val="0"/>
          <w:numId w:val="2"/>
        </w:numPr>
        <w:spacing w:after="60" w:before="60"/>
      </w:pPr>
      <w:r>
        <w:rPr>
          <w:rFonts w:ascii="Arial" w:cs="Arial" w:eastAsia="Arial" w:hAnsi="Arial"/>
          <w:color w:val="1A1A1A"/>
          <w:sz w:val="22"/>
          <w:szCs w:val="22"/>
        </w:rPr>
        <w:t xml:space="preserve">Section 203 — Termination of transfers and licenses granted by the author.</w:t>
      </w:r>
    </w:p>
    <w:p>
      <w:pPr>
        <w:pStyle w:val="ListParagraph"/>
        <w:numPr>
          <w:ilvl w:val="0"/>
          <w:numId w:val="2"/>
        </w:numPr>
        <w:spacing w:after="60" w:before="60"/>
      </w:pPr>
      <w:r>
        <w:rPr>
          <w:rFonts w:ascii="Arial" w:cs="Arial" w:eastAsia="Arial" w:hAnsi="Arial"/>
          <w:color w:val="1A1A1A"/>
          <w:sz w:val="22"/>
          <w:szCs w:val="22"/>
        </w:rPr>
        <w:t xml:space="preserve">Section 301 — Federal preemption of state copyright law.</w:t>
      </w:r>
    </w:p>
    <w:p>
      <w:pPr>
        <w:pStyle w:val="ListParagraph"/>
        <w:numPr>
          <w:ilvl w:val="0"/>
          <w:numId w:val="2"/>
        </w:numPr>
        <w:spacing w:after="60" w:before="60"/>
      </w:pPr>
      <w:r>
        <w:rPr>
          <w:rFonts w:ascii="Arial" w:cs="Arial" w:eastAsia="Arial" w:hAnsi="Arial"/>
          <w:color w:val="1A1A1A"/>
          <w:sz w:val="22"/>
          <w:szCs w:val="22"/>
        </w:rPr>
        <w:t xml:space="preserve">Section 302 — Duration of copyright.</w:t>
      </w:r>
    </w:p>
    <w:p>
      <w:pPr>
        <w:pStyle w:val="ListParagraph"/>
        <w:numPr>
          <w:ilvl w:val="0"/>
          <w:numId w:val="2"/>
        </w:numPr>
        <w:spacing w:after="60" w:before="60"/>
      </w:pPr>
      <w:r>
        <w:rPr>
          <w:rFonts w:ascii="Arial" w:cs="Arial" w:eastAsia="Arial" w:hAnsi="Arial"/>
          <w:color w:val="1A1A1A"/>
          <w:sz w:val="22"/>
          <w:szCs w:val="22"/>
        </w:rPr>
        <w:t xml:space="preserve">Section 501 — Infringement of copyright.</w:t>
      </w:r>
    </w:p>
    <w:p>
      <w:pPr>
        <w:pStyle w:val="ListParagraph"/>
        <w:numPr>
          <w:ilvl w:val="0"/>
          <w:numId w:val="2"/>
        </w:numPr>
        <w:spacing w:after="60" w:before="60"/>
      </w:pPr>
      <w:r>
        <w:rPr>
          <w:rFonts w:ascii="Arial" w:cs="Arial" w:eastAsia="Arial" w:hAnsi="Arial"/>
          <w:color w:val="1A1A1A"/>
          <w:sz w:val="22"/>
          <w:szCs w:val="22"/>
        </w:rPr>
        <w:t xml:space="preserve">Section 504 — Remedies for infringement, including statutory damages.</w:t>
      </w:r>
    </w:p>
    <w:p>
      <w:pPr>
        <w:spacing w:after="0" w:before="120"/>
      </w:pPr>
      <w:r>
        <w:t xml:space="preserve"/>
      </w:r>
    </w:p>
    <w:p>
      <w:pPr>
        <w:spacing w:after="120" w:before="80"/>
        <w:jc w:val="both"/>
      </w:pPr>
      <w:r>
        <w:rPr>
          <w:rFonts w:ascii="Arial" w:cs="Arial" w:eastAsia="Arial" w:hAnsi="Arial"/>
          <w:color w:val="1A1A1A"/>
          <w:sz w:val="22"/>
          <w:szCs w:val="22"/>
        </w:rPr>
        <w:t xml:space="preserve">The Music Modernization Act of 2018 (MMA) introduced significant amendments, most notably by overhauling the Section 115 compulsory license framework for digital streaming and creating the Mechanical Licensing Collective (MLC) as the designated body to administer blanket mechanical licenses for digital service providers.</w:t>
      </w:r>
    </w:p>
    <w:p>
      <w:pPr>
        <w:pStyle w:val="Heading2"/>
        <w:spacing w:after="180" w:before="360"/>
      </w:pPr>
      <w:r>
        <w:rPr>
          <w:rFonts w:ascii="Arial" w:cs="Arial" w:eastAsia="Arial" w:hAnsi="Arial"/>
          <w:b/>
          <w:bCs/>
          <w:color w:val="0D2137"/>
          <w:sz w:val="28"/>
          <w:szCs w:val="28"/>
        </w:rPr>
        <w:t xml:space="preserve">Term of Copyright</w:t>
      </w:r>
    </w:p>
    <w:p>
      <w:pPr>
        <w:spacing w:after="120" w:before="80"/>
        <w:jc w:val="both"/>
      </w:pPr>
      <w:r>
        <w:rPr>
          <w:rFonts w:ascii="Arial" w:cs="Arial" w:eastAsia="Arial" w:hAnsi="Arial"/>
          <w:color w:val="1A1A1A"/>
          <w:sz w:val="22"/>
          <w:szCs w:val="22"/>
        </w:rPr>
        <w:t xml:space="preserve">The term of copyright protection determines how long a creator holds exclusive rights before the work passes into the public domain. Understanding copyright duration is essential for catalog valuation, acquisition due diligence, and long-term asset planning.</w:t>
      </w:r>
    </w:p>
    <w:p>
      <w:pPr>
        <w:spacing w:after="120" w:before="80"/>
        <w:jc w:val="both"/>
      </w:pPr>
      <w:r>
        <w:rPr>
          <w:rFonts w:ascii="Arial" w:cs="Arial" w:eastAsia="Arial" w:hAnsi="Arial"/>
          <w:color w:val="1A1A1A"/>
          <w:sz w:val="22"/>
          <w:szCs w:val="22"/>
        </w:rPr>
        <w:t xml:space="preserve">For works created on or after January 1, 1978 (the effective date of the 1976 Act), the term is the life of the author plus 70 years. For joint works, the term is measured from the death of the last surviving author. For works made for hire, anonymous works, and pseudonymous works, the term is 95 years from the year of first publication or 120 years from the year of creation, whichever expires first.</w:t>
      </w:r>
    </w:p>
    <w:p>
      <w:pPr>
        <w:spacing w:after="120" w:before="80"/>
        <w:jc w:val="both"/>
      </w:pPr>
      <w:r>
        <w:rPr>
          <w:rFonts w:ascii="Arial" w:cs="Arial" w:eastAsia="Arial" w:hAnsi="Arial"/>
          <w:color w:val="1A1A1A"/>
          <w:sz w:val="22"/>
          <w:szCs w:val="22"/>
        </w:rPr>
        <w:t xml:space="preserve">For works created before January 1, 1978 and protected under the prior 1909 Act, the analysis is more complex. Works published before 1928 are generally in the public domain in the United States. Works published between 1928 and 1977 may still be protected depending on whether proper copyright renewal formalities were observed. The Sonny Bono Copyright Term Extension Act of 1998 added 20 years to all existing terms, extending protection for pre-1978 works from 75 years to 95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CATALOG VALUATION</w:t>
            </w:r>
          </w:p>
          <w:p>
            <w:pPr>
              <w:spacing w:before="60"/>
              <w:jc w:val="both"/>
            </w:pPr>
            <w:r>
              <w:rPr>
                <w:rFonts w:ascii="Arial" w:cs="Arial" w:eastAsia="Arial" w:hAnsi="Arial"/>
                <w:i/>
                <w:iCs/>
                <w:color w:val="1A1A1A"/>
                <w:sz w:val="21"/>
                <w:szCs w:val="21"/>
              </w:rPr>
              <w:t xml:space="preserve">When acquiring a catalog of musical compositions, the copyright expiration dates of individual compositions are a critical component of valuation. Compositions approaching the end of their copyright term carry reduced long-term asset value. Due diligence must include a copyright term analysis for every material composition in the target catalog.</w:t>
            </w:r>
          </w:p>
        </w:tc>
      </w:tr>
    </w:tbl>
    <w:p>
      <w:pPr>
        <w:pStyle w:val="Heading2"/>
        <w:spacing w:after="180" w:before="360"/>
      </w:pPr>
      <w:r>
        <w:rPr>
          <w:rFonts w:ascii="Arial" w:cs="Arial" w:eastAsia="Arial" w:hAnsi="Arial"/>
          <w:b/>
          <w:bCs/>
          <w:color w:val="0D2137"/>
          <w:sz w:val="28"/>
          <w:szCs w:val="28"/>
        </w:rPr>
        <w:t xml:space="preserve">Termination and Recapturing of Copyright</w:t>
      </w:r>
    </w:p>
    <w:p>
      <w:pPr>
        <w:spacing w:after="120" w:before="80"/>
        <w:jc w:val="both"/>
      </w:pPr>
      <w:r>
        <w:rPr>
          <w:rFonts w:ascii="Arial" w:cs="Arial" w:eastAsia="Arial" w:hAnsi="Arial"/>
          <w:color w:val="1A1A1A"/>
          <w:sz w:val="22"/>
          <w:szCs w:val="22"/>
        </w:rPr>
        <w:t xml:space="preserve">One of the most consequential and frequently underestimated provisions in the Copyright Act is the statutory termination right. Sections 203 and 304(c) give authors (and their heirs) the right to terminate grants of copyright transfers and licenses—regardless of contractual language to the contrary. This right cannot be waived by contract. It is a mandatory statutory entitlement.</w:t>
      </w:r>
    </w:p>
    <w:p>
      <w:pPr>
        <w:spacing w:after="120" w:before="80"/>
        <w:jc w:val="both"/>
      </w:pPr>
      <w:r>
        <w:rPr>
          <w:rFonts w:ascii="Arial" w:cs="Arial" w:eastAsia="Arial" w:hAnsi="Arial"/>
          <w:color w:val="1A1A1A"/>
          <w:sz w:val="22"/>
          <w:szCs w:val="22"/>
        </w:rPr>
        <w:t xml:space="preserve">Under Section 203, for grants made by the author on or after January 1, 1978, the author (or the author's heirs) may terminate the grant during a five-year window beginning 35 years from the date the grant was executed, or 35 years from the date of first publication under the grant, whichever is earlier. Notice of termination must be served not less than two years nor more than ten years before the termination date.</w:t>
      </w:r>
    </w:p>
    <w:p>
      <w:pPr>
        <w:spacing w:after="120" w:before="80"/>
        <w:jc w:val="both"/>
      </w:pPr>
      <w:r>
        <w:rPr>
          <w:rFonts w:ascii="Arial" w:cs="Arial" w:eastAsia="Arial" w:hAnsi="Arial"/>
          <w:color w:val="1A1A1A"/>
          <w:sz w:val="22"/>
          <w:szCs w:val="22"/>
        </w:rPr>
        <w:t xml:space="preserve">The practical implications for music publishing are profound. A songwriter who signed a publishing agreement in 1985 assigning all rights to a publisher can—beginning 35 years later—serve notice of termination and reclaim ownership of those copyrights. The publisher retains the right to exploit derivative works already created under the grant (i.e., existing recordings embodying the composition), but cannot authorize new uses after termination.</w:t>
      </w:r>
    </w:p>
    <w:p>
      <w:pPr>
        <w:spacing w:after="120" w:before="80"/>
        <w:jc w:val="both"/>
      </w:pPr>
      <w:r>
        <w:rPr>
          <w:rFonts w:ascii="Arial" w:cs="Arial" w:eastAsia="Arial" w:hAnsi="Arial"/>
          <w:color w:val="1A1A1A"/>
          <w:sz w:val="22"/>
          <w:szCs w:val="22"/>
        </w:rPr>
        <w:t xml:space="preserve">Works made for hire are explicitly excluded from the termination right. This is why many publishers have historically attempted to characterize commissioned works as works made for hire—a practice that has generated considerable litigation and legislative scrutiny. The MMA of 2018 explicitly confirmed that sound recordings are not works made for hire for purposes of termination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TERMINATION RISK MANAGEMENT</w:t>
            </w:r>
          </w:p>
          <w:p>
            <w:pPr>
              <w:spacing w:before="60"/>
              <w:jc w:val="both"/>
            </w:pPr>
            <w:r>
              <w:rPr>
                <w:rFonts w:ascii="Arial" w:cs="Arial" w:eastAsia="Arial" w:hAnsi="Arial"/>
                <w:i/>
                <w:iCs/>
                <w:color w:val="1A1A1A"/>
                <w:sz w:val="21"/>
                <w:szCs w:val="21"/>
              </w:rPr>
              <w:t xml:space="preserve">Any publishing catalog of sufficient age must be audited for pending or eligible termination claims. Compositions created under agreements executed 30 or more years ago are in or approaching the termination window. Publishers should proactively engage affected songwriters to negotiate new agreements, understand the catalog exposure, and model the financial impact of termination on long-term revenue projections.</w:t>
            </w:r>
          </w:p>
        </w:tc>
      </w:tr>
    </w:tbl>
    <w:p>
      <w:pPr>
        <w:pStyle w:val="Heading2"/>
        <w:spacing w:after="180" w:before="360"/>
      </w:pPr>
      <w:r>
        <w:rPr>
          <w:rFonts w:ascii="Arial" w:cs="Arial" w:eastAsia="Arial" w:hAnsi="Arial"/>
          <w:b/>
          <w:bCs/>
          <w:color w:val="0D2137"/>
          <w:sz w:val="28"/>
          <w:szCs w:val="28"/>
        </w:rPr>
        <w:t xml:space="preserve">Copyright Infringement</w:t>
      </w:r>
    </w:p>
    <w:p>
      <w:pPr>
        <w:spacing w:after="120" w:before="80"/>
        <w:jc w:val="both"/>
      </w:pPr>
      <w:r>
        <w:rPr>
          <w:rFonts w:ascii="Arial" w:cs="Arial" w:eastAsia="Arial" w:hAnsi="Arial"/>
          <w:color w:val="1A1A1A"/>
          <w:sz w:val="22"/>
          <w:szCs w:val="22"/>
        </w:rPr>
        <w:t xml:space="preserve">Copyright infringement occurs when a person exercises one or more of the copyright owner's exclusive rights without authorization and without the benefit of a statutory exception such as fair use. In the context of musical compositions, the most common forms of infringement are: unauthorized reproduction (piracy), unauthorized distribution, unauthorized public performance, unauthorized synchronization, and plagiarism (copying protected elements of a composition in a new work).</w:t>
      </w:r>
    </w:p>
    <w:p>
      <w:pPr>
        <w:spacing w:after="120" w:before="80"/>
        <w:jc w:val="both"/>
      </w:pPr>
      <w:r>
        <w:rPr>
          <w:rFonts w:ascii="Arial" w:cs="Arial" w:eastAsia="Arial" w:hAnsi="Arial"/>
          <w:color w:val="1A1A1A"/>
          <w:sz w:val="22"/>
          <w:szCs w:val="22"/>
        </w:rPr>
        <w:t xml:space="preserve">To establish infringement, the plaintiff must prove two elements: (1) ownership of a valid copyright, and (2) that the defendant copied protected expression. Because direct proof of copying is rarely available, courts typically infer copying from a combination of access (the defendant had the opportunity to hear the plaintiff's work) and substantial similarity (the defendant's work contains elements substantially similar to protected expression in the plaintiff's work).</w:t>
      </w:r>
    </w:p>
    <w:p>
      <w:pPr>
        <w:spacing w:after="120" w:before="80"/>
        <w:jc w:val="both"/>
      </w:pPr>
      <w:r>
        <w:rPr>
          <w:rFonts w:ascii="Arial" w:cs="Arial" w:eastAsia="Arial" w:hAnsi="Arial"/>
          <w:color w:val="1A1A1A"/>
          <w:sz w:val="22"/>
          <w:szCs w:val="22"/>
        </w:rPr>
        <w:t xml:space="preserve">The substantial similarity analysis in music cases has become increasingly contentious following several high-profile decisions, most notably Williams v. Gaye (the Blurred Lines case), in which the Ninth Circuit affirmed a jury verdict finding that Robin Thicke and Pharrell Williams infringed Marvin Gaye's Got to Give It Up. Critics argued that the decision improperly expanded copyright protection to general style and feel, elements traditionally not protectable. The decision has created significant uncertainty in the music industry and has led to a wave of preemptive co-writing credits in major pop releases.</w:t>
      </w:r>
    </w:p>
    <w:p>
      <w:pPr>
        <w:pStyle w:val="Heading2"/>
        <w:spacing w:after="180" w:before="360"/>
      </w:pPr>
      <w:r>
        <w:rPr>
          <w:rFonts w:ascii="Arial" w:cs="Arial" w:eastAsia="Arial" w:hAnsi="Arial"/>
          <w:b/>
          <w:bCs/>
          <w:color w:val="0D2137"/>
          <w:sz w:val="28"/>
          <w:szCs w:val="28"/>
        </w:rPr>
        <w:t xml:space="preserve">Damages for Infringement</w:t>
      </w:r>
    </w:p>
    <w:p>
      <w:pPr>
        <w:spacing w:after="120" w:before="80"/>
        <w:jc w:val="both"/>
      </w:pPr>
      <w:r>
        <w:rPr>
          <w:rFonts w:ascii="Arial" w:cs="Arial" w:eastAsia="Arial" w:hAnsi="Arial"/>
          <w:color w:val="1A1A1A"/>
          <w:sz w:val="22"/>
          <w:szCs w:val="22"/>
        </w:rPr>
        <w:t xml:space="preserve">A successful plaintiff in a copyright infringement action may recover: (1) actual damages and any additional profits of the infringer attributable to the infringement; or (2) statutory damages, at the plaintiff's election made before final judgment.</w:t>
      </w:r>
    </w:p>
    <w:p>
      <w:pPr>
        <w:spacing w:after="120" w:before="80"/>
        <w:jc w:val="both"/>
      </w:pPr>
      <w:r>
        <w:rPr>
          <w:rFonts w:ascii="Arial" w:cs="Arial" w:eastAsia="Arial" w:hAnsi="Arial"/>
          <w:color w:val="1A1A1A"/>
          <w:sz w:val="22"/>
          <w:szCs w:val="22"/>
        </w:rPr>
        <w:t xml:space="preserve">Statutory damages range from $750 to $30,000 per work infringed. For willful infringement—where the infringer knew or had reason to know that the conduct constituted infringement—the court may increase statutory damages up to $150,000 per work. For innocent infringement—where the infringer had no reason to believe the conduct was infringing—the court may reduce statutory damages to as low as $200 per work.</w:t>
      </w:r>
    </w:p>
    <w:p>
      <w:pPr>
        <w:spacing w:after="120" w:before="80"/>
        <w:jc w:val="both"/>
      </w:pPr>
      <w:r>
        <w:rPr>
          <w:rFonts w:ascii="Arial" w:cs="Arial" w:eastAsia="Arial" w:hAnsi="Arial"/>
          <w:color w:val="1A1A1A"/>
          <w:sz w:val="22"/>
          <w:szCs w:val="22"/>
        </w:rPr>
        <w:t xml:space="preserve">In addition to damages, a prevailing plaintiff may obtain injunctive relief, impoundment and destruction of infringing copies, and, in the court's discretion, recovery of attorneys' fees and costs. The availability of attorneys' fees and statutory damages is contingent on the copyright having been registered prior to the infringement (or within three months of first publication for timely registration). This is a key practical reason why timely copyright registration is strongly recommended.</w:t>
      </w:r>
    </w:p>
    <w:p>
      <w:pPr>
        <w:pStyle w:val="Heading2"/>
        <w:spacing w:after="180" w:before="360"/>
      </w:pPr>
      <w:r>
        <w:rPr>
          <w:rFonts w:ascii="Arial" w:cs="Arial" w:eastAsia="Arial" w:hAnsi="Arial"/>
          <w:b/>
          <w:bCs/>
          <w:color w:val="0D2137"/>
          <w:sz w:val="28"/>
          <w:szCs w:val="28"/>
        </w:rPr>
        <w:t xml:space="preserve">Exceptions to the Exclusive Rights of Copyright Owners</w:t>
      </w:r>
    </w:p>
    <w:p>
      <w:pPr>
        <w:spacing w:after="120" w:before="80"/>
        <w:jc w:val="both"/>
      </w:pPr>
      <w:r>
        <w:rPr>
          <w:rFonts w:ascii="Arial" w:cs="Arial" w:eastAsia="Arial" w:hAnsi="Arial"/>
          <w:color w:val="1A1A1A"/>
          <w:sz w:val="22"/>
          <w:szCs w:val="22"/>
        </w:rPr>
        <w:t xml:space="preserve">The Copyright Act recognizes a number of limitations on the exclusive rights of copyright owners. For publishing administration, the most significant are:</w:t>
      </w:r>
    </w:p>
    <w:p>
      <w:pPr>
        <w:pStyle w:val="Heading3"/>
        <w:spacing w:after="120" w:before="240"/>
      </w:pPr>
      <w:r>
        <w:rPr>
          <w:rFonts w:ascii="Arial" w:cs="Arial" w:eastAsia="Arial" w:hAnsi="Arial"/>
          <w:b/>
          <w:bCs/>
          <w:color w:val="4A4A4A"/>
          <w:sz w:val="24"/>
          <w:szCs w:val="24"/>
        </w:rPr>
        <w:t xml:space="preserve">Fair Use (Section 107)</w:t>
      </w:r>
    </w:p>
    <w:p>
      <w:pPr>
        <w:spacing w:after="120" w:before="80"/>
        <w:jc w:val="both"/>
      </w:pPr>
      <w:r>
        <w:rPr>
          <w:rFonts w:ascii="Arial" w:cs="Arial" w:eastAsia="Arial" w:hAnsi="Arial"/>
          <w:color w:val="1A1A1A"/>
          <w:sz w:val="22"/>
          <w:szCs w:val="22"/>
        </w:rPr>
        <w:t xml:space="preserve">Fair use is an affirmative defense to copyright infringement that permits unauthorized use of copyrighted material for purposes such as criticism, comment, news reporting, teaching, scholarship, or research. Courts evaluate fair use claims using four non-exclusive factors: (1) the purpose and character of the use (commercial vs. educational; transformative vs. reproductive); (2) the nature of the copyrighted work; (3) the amount and substantiality of the portion used; and (4) the effect of the use upon the potential market for or value of the copyrighted work. Fair use determinations are inherently fact-specific and cannot be predicted with certainty.</w:t>
      </w:r>
    </w:p>
    <w:p>
      <w:pPr>
        <w:pStyle w:val="Heading3"/>
        <w:spacing w:after="120" w:before="240"/>
      </w:pPr>
      <w:r>
        <w:rPr>
          <w:rFonts w:ascii="Arial" w:cs="Arial" w:eastAsia="Arial" w:hAnsi="Arial"/>
          <w:b/>
          <w:bCs/>
          <w:color w:val="4A4A4A"/>
          <w:sz w:val="24"/>
          <w:szCs w:val="24"/>
        </w:rPr>
        <w:t xml:space="preserve">The Compulsory Mechanical License (Section 115)</w:t>
      </w:r>
    </w:p>
    <w:p>
      <w:pPr>
        <w:spacing w:after="120" w:before="80"/>
        <w:jc w:val="both"/>
      </w:pPr>
      <w:r>
        <w:rPr>
          <w:rFonts w:ascii="Arial" w:cs="Arial" w:eastAsia="Arial" w:hAnsi="Arial"/>
          <w:color w:val="1A1A1A"/>
          <w:sz w:val="22"/>
          <w:szCs w:val="22"/>
        </w:rPr>
        <w:t xml:space="preserve">Once a non-dramatic musical work has been recorded and distributed publicly in the United States with the copyright owner's authorization, any other person may obtain a compulsory license to make and distribute their own phonorecord (cover recording) of the work by complying with the statutory requirements and paying the applicable royalty rate. This compulsory license fundamentally shapes the mechanical licensing market and is addressed in detail in Chapter 3.</w:t>
      </w:r>
    </w:p>
    <w:p>
      <w:pPr>
        <w:pStyle w:val="Heading3"/>
        <w:spacing w:after="120" w:before="240"/>
      </w:pPr>
      <w:r>
        <w:rPr>
          <w:rFonts w:ascii="Arial" w:cs="Arial" w:eastAsia="Arial" w:hAnsi="Arial"/>
          <w:b/>
          <w:bCs/>
          <w:color w:val="4A4A4A"/>
          <w:sz w:val="24"/>
          <w:szCs w:val="24"/>
        </w:rPr>
        <w:t xml:space="preserve">The DMCA Safe Harbor (Section 512)</w:t>
      </w:r>
    </w:p>
    <w:p>
      <w:pPr>
        <w:spacing w:after="120" w:before="80"/>
        <w:jc w:val="both"/>
      </w:pPr>
      <w:r>
        <w:rPr>
          <w:rFonts w:ascii="Arial" w:cs="Arial" w:eastAsia="Arial" w:hAnsi="Arial"/>
          <w:color w:val="1A1A1A"/>
          <w:sz w:val="22"/>
          <w:szCs w:val="22"/>
        </w:rPr>
        <w:t xml:space="preserve">The Digital Millennium Copyright Act of 1998 (DMCA) provides safe harbor protections to online service providers that comply with specified notice-and-takedown procedures for infringing content uploaded by users. This provision has been the subject of significant controversy in the music industry, as major user-generated content platforms have relied heavily on it to limit liability for the widespread unauthorized use of copyrighted music.</w:t>
      </w:r>
    </w:p>
    <w:p>
      <w:pPr>
        <w:pStyle w:val="Heading2"/>
        <w:spacing w:after="180" w:before="360"/>
      </w:pPr>
      <w:r>
        <w:rPr>
          <w:rFonts w:ascii="Arial" w:cs="Arial" w:eastAsia="Arial" w:hAnsi="Arial"/>
          <w:b/>
          <w:bCs/>
          <w:color w:val="0D2137"/>
          <w:sz w:val="28"/>
          <w:szCs w:val="28"/>
        </w:rPr>
        <w:t xml:space="preserve">Benefits of Registration</w:t>
      </w:r>
    </w:p>
    <w:p>
      <w:pPr>
        <w:spacing w:after="120" w:before="80"/>
        <w:jc w:val="both"/>
      </w:pPr>
      <w:r>
        <w:rPr>
          <w:rFonts w:ascii="Arial" w:cs="Arial" w:eastAsia="Arial" w:hAnsi="Arial"/>
          <w:color w:val="1A1A1A"/>
          <w:sz w:val="22"/>
          <w:szCs w:val="22"/>
        </w:rPr>
        <w:t xml:space="preserve">While copyright protection arises automatically upon creation and fixation, registration with the U.S. Copyright Office provides substantial additional benefits:</w:t>
      </w:r>
    </w:p>
    <w:p>
      <w:pPr>
        <w:pStyle w:val="ListParagraph"/>
        <w:numPr>
          <w:ilvl w:val="0"/>
          <w:numId w:val="2"/>
        </w:numPr>
        <w:spacing w:after="60" w:before="60"/>
      </w:pPr>
      <w:r>
        <w:rPr>
          <w:rFonts w:ascii="Arial" w:cs="Arial" w:eastAsia="Arial" w:hAnsi="Arial"/>
          <w:color w:val="1A1A1A"/>
          <w:sz w:val="22"/>
          <w:szCs w:val="22"/>
        </w:rPr>
        <w:t xml:space="preserve">Registration creates a public record of copyright ownership and the date of creation, which is valuable evidence in infringement proceedings.</w:t>
      </w:r>
    </w:p>
    <w:p>
      <w:pPr>
        <w:pStyle w:val="ListParagraph"/>
        <w:numPr>
          <w:ilvl w:val="0"/>
          <w:numId w:val="2"/>
        </w:numPr>
        <w:spacing w:after="60" w:before="60"/>
      </w:pPr>
      <w:r>
        <w:rPr>
          <w:rFonts w:ascii="Arial" w:cs="Arial" w:eastAsia="Arial" w:hAnsi="Arial"/>
          <w:color w:val="1A1A1A"/>
          <w:sz w:val="22"/>
          <w:szCs w:val="22"/>
        </w:rPr>
        <w:t xml:space="preserve">For U.S. works, registration is a prerequisite to filing an infringement suit in federal court.</w:t>
      </w:r>
    </w:p>
    <w:p>
      <w:pPr>
        <w:pStyle w:val="ListParagraph"/>
        <w:numPr>
          <w:ilvl w:val="0"/>
          <w:numId w:val="2"/>
        </w:numPr>
        <w:spacing w:after="60" w:before="60"/>
      </w:pPr>
      <w:r>
        <w:rPr>
          <w:rFonts w:ascii="Arial" w:cs="Arial" w:eastAsia="Arial" w:hAnsi="Arial"/>
          <w:color w:val="1A1A1A"/>
          <w:sz w:val="22"/>
          <w:szCs w:val="22"/>
        </w:rPr>
        <w:t xml:space="preserve">If registration is made before infringement begins—or within three months of first publication—the copyright owner may elect statutory damages (up to $150,000 per work for willful infringement) and recover attorneys' fees. Without timely registration, the plaintiff is limited to actual damages and lost profits.</w:t>
      </w:r>
    </w:p>
    <w:p>
      <w:pPr>
        <w:pStyle w:val="ListParagraph"/>
        <w:numPr>
          <w:ilvl w:val="0"/>
          <w:numId w:val="2"/>
        </w:numPr>
        <w:spacing w:after="60" w:before="60"/>
      </w:pPr>
      <w:r>
        <w:rPr>
          <w:rFonts w:ascii="Arial" w:cs="Arial" w:eastAsia="Arial" w:hAnsi="Arial"/>
          <w:color w:val="1A1A1A"/>
          <w:sz w:val="22"/>
          <w:szCs w:val="22"/>
        </w:rPr>
        <w:t xml:space="preserve">A certificate of registration issued within five years of first publication constitutes prima facie evidence of the validity of the copyright and the facts stated in the certificate.</w:t>
      </w:r>
    </w:p>
    <w:p>
      <w:pPr>
        <w:pStyle w:val="ListParagraph"/>
        <w:numPr>
          <w:ilvl w:val="0"/>
          <w:numId w:val="2"/>
        </w:numPr>
        <w:spacing w:after="60" w:before="60"/>
      </w:pPr>
      <w:r>
        <w:rPr>
          <w:rFonts w:ascii="Arial" w:cs="Arial" w:eastAsia="Arial" w:hAnsi="Arial"/>
          <w:color w:val="1A1A1A"/>
          <w:sz w:val="22"/>
          <w:szCs w:val="22"/>
        </w:rPr>
        <w:t xml:space="preserve">Registration enables the copyright owner to record the registration with U.S. Customs and Border Protection to block the importation of infringing copies.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REGISTRATION POLICY</w:t>
            </w:r>
          </w:p>
          <w:p>
            <w:pPr>
              <w:spacing w:before="60"/>
              <w:jc w:val="both"/>
            </w:pPr>
            <w:r>
              <w:rPr>
                <w:rFonts w:ascii="Arial" w:cs="Arial" w:eastAsia="Arial" w:hAnsi="Arial"/>
                <w:i/>
                <w:iCs/>
                <w:color w:val="1A1A1A"/>
                <w:sz w:val="21"/>
                <w:szCs w:val="21"/>
              </w:rPr>
              <w:t xml:space="preserve">Every musical composition administered by MusiGod should be registered with the U.S. Copyright Office promptly upon creation or acquisition. The cost of registration is minimal relative to the legal protections it affords. A systematic registration protocol is a fundamental component of sound publishing administration.</w:t>
            </w:r>
          </w:p>
        </w:tc>
      </w:tr>
    </w:tbl>
    <w:p>
      <w:pPr>
        <w:pStyle w:val="Heading2"/>
        <w:spacing w:after="180" w:before="360"/>
      </w:pPr>
      <w:r>
        <w:rPr>
          <w:rFonts w:ascii="Arial" w:cs="Arial" w:eastAsia="Arial" w:hAnsi="Arial"/>
          <w:b/>
          <w:bCs/>
          <w:color w:val="0D2137"/>
          <w:sz w:val="28"/>
          <w:szCs w:val="28"/>
        </w:rPr>
        <w:t xml:space="preserve">Basic Registration Process</w:t>
      </w:r>
    </w:p>
    <w:p>
      <w:pPr>
        <w:spacing w:after="120" w:before="80"/>
        <w:jc w:val="both"/>
      </w:pPr>
      <w:r>
        <w:rPr>
          <w:rFonts w:ascii="Arial" w:cs="Arial" w:eastAsia="Arial" w:hAnsi="Arial"/>
          <w:color w:val="1A1A1A"/>
          <w:sz w:val="22"/>
          <w:szCs w:val="22"/>
        </w:rPr>
        <w:t xml:space="preserve">Copyright registration is accomplished by submitting an application, a nonrefundable filing fee, and a deposit copy of the work to the U.S. Copyright Office. For musical works, registration may be accomplished online through the Copyright Office's eCO system (copyright.gov/registration) or by paper application.</w:t>
      </w:r>
    </w:p>
    <w:p>
      <w:pPr>
        <w:spacing w:after="120" w:before="80"/>
        <w:jc w:val="both"/>
      </w:pPr>
      <w:r>
        <w:rPr>
          <w:rFonts w:ascii="Arial" w:cs="Arial" w:eastAsia="Arial" w:hAnsi="Arial"/>
          <w:color w:val="1A1A1A"/>
          <w:sz w:val="22"/>
          <w:szCs w:val="22"/>
        </w:rPr>
        <w:t xml:space="preserve">The applicable form for unpublished musical works or published works is Form PA (Performing Arts). The deposit requirement for a musical composition is typically a copy of the sheet music or a lead sheet. For published works distributed as part of an album or compilation, the deposit copy may be the album itself.</w:t>
      </w:r>
    </w:p>
    <w:p>
      <w:pPr>
        <w:spacing w:after="120" w:before="80"/>
        <w:jc w:val="both"/>
      </w:pPr>
      <w:r>
        <w:rPr>
          <w:rFonts w:ascii="Arial" w:cs="Arial" w:eastAsia="Arial" w:hAnsi="Arial"/>
          <w:color w:val="1A1A1A"/>
          <w:sz w:val="22"/>
          <w:szCs w:val="22"/>
        </w:rPr>
        <w:t xml:space="preserve">Group registration options allow for the efficient registration of multiple works. The Copyright Office permits group registration of unpublished works (GRUW) for up to ten unpublished works by the same author for a single fee, and group registration of published musical works under certain conditions. For high-volume publishing operations, these group options significantly reduce the administrative cost of maintaining a current registration program.</w:t>
      </w:r>
    </w:p>
    <w:p>
      <w:pPr>
        <w:spacing w:after="120" w:before="80"/>
        <w:jc w:val="both"/>
      </w:pPr>
      <w:r>
        <w:rPr>
          <w:rFonts w:ascii="Arial" w:cs="Arial" w:eastAsia="Arial" w:hAnsi="Arial"/>
          <w:color w:val="1A1A1A"/>
          <w:sz w:val="22"/>
          <w:szCs w:val="22"/>
        </w:rPr>
        <w:t xml:space="preserve">Registration is completed when the Copyright Office examines the application and issues a certificate of registration. The effective date of registration is the date the Copyright Office receives the completed application, fee, and deposit—not the date the certificate is issued. Processing times vary; as of the current period, online applications for single works typically take three to seven months.</w:t>
      </w:r>
    </w:p>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2: PUBLIC PERFORMING RIGHTS ORGANIZATIONS</w:t>
      </w:r>
    </w:p>
    <w:p>
      <w:pPr>
        <w:pStyle w:val="Heading2"/>
        <w:spacing w:after="180" w:before="360"/>
      </w:pPr>
      <w:r>
        <w:rPr>
          <w:rFonts w:ascii="Arial" w:cs="Arial" w:eastAsia="Arial" w:hAnsi="Arial"/>
          <w:b/>
          <w:bCs/>
          <w:color w:val="0D2137"/>
          <w:sz w:val="28"/>
          <w:szCs w:val="28"/>
        </w:rPr>
        <w:t xml:space="preserve">Copyright Law Basics for Public Performance</w:t>
      </w:r>
    </w:p>
    <w:p>
      <w:pPr>
        <w:spacing w:after="120" w:before="80"/>
        <w:jc w:val="both"/>
      </w:pPr>
      <w:r>
        <w:rPr>
          <w:rFonts w:ascii="Arial" w:cs="Arial" w:eastAsia="Arial" w:hAnsi="Arial"/>
          <w:color w:val="1A1A1A"/>
          <w:sz w:val="22"/>
          <w:szCs w:val="22"/>
        </w:rPr>
        <w:t xml:space="preserve">The right of public performance is one of the six exclusive rights granted to copyright owners under Section 106 of the Copyright Act. For musical compositions, this right encompasses every performance of the work that occurs in a public place or is transmitted to the public—live performances in concert halls and clubs, background music in restaurants and retail establishments, radio and television broadcasts, streaming over the internet, and countless other uses.</w:t>
      </w:r>
    </w:p>
    <w:p>
      <w:pPr>
        <w:spacing w:after="120" w:before="80"/>
        <w:jc w:val="both"/>
      </w:pPr>
      <w:r>
        <w:rPr>
          <w:rFonts w:ascii="Arial" w:cs="Arial" w:eastAsia="Arial" w:hAnsi="Arial"/>
          <w:color w:val="1A1A1A"/>
          <w:sz w:val="22"/>
          <w:szCs w:val="22"/>
        </w:rPr>
        <w:t xml:space="preserve">The sheer volume and geographic dispersion of public performances makes it practically impossible for individual copyright owners to directly license, monitor, and collect royalties from every user. This collective action problem gave rise to the Performing Rights Organization (PRO)—an intermediary that acquires blanket non-exclusive licenses to perform the repertoire of its affiliated members from music users, monitors those performances, and distributes the resulting royalties to its members.</w:t>
      </w:r>
    </w:p>
    <w:p>
      <w:pPr>
        <w:spacing w:after="120" w:before="80"/>
        <w:jc w:val="both"/>
      </w:pPr>
      <w:r>
        <w:rPr>
          <w:rFonts w:ascii="Arial" w:cs="Arial" w:eastAsia="Arial" w:hAnsi="Arial"/>
          <w:color w:val="1A1A1A"/>
          <w:sz w:val="22"/>
          <w:szCs w:val="22"/>
        </w:rPr>
        <w:t xml:space="preserve">In the United States, three major PROs operate: ASCAP (American Society of Composers, Authors and Publishers), BMI (Broadcast Music, Inc.), and SESAC (Society of European Stage Authors and Composers). A fourth organization, GMR (Global Music Rights), founded in 2013, represents a smaller but high-profile roster. Each songwriter and publisher must affiliate with exactly one U.S. PRO for their domestic performance rights; they cannot split these rights across multiple organizations.</w:t>
      </w:r>
    </w:p>
    <w:p>
      <w:pPr>
        <w:pStyle w:val="Heading2"/>
        <w:spacing w:after="180" w:before="360"/>
      </w:pPr>
      <w:r>
        <w:rPr>
          <w:rFonts w:ascii="Arial" w:cs="Arial" w:eastAsia="Arial" w:hAnsi="Arial"/>
          <w:b/>
          <w:bCs/>
          <w:color w:val="0D2137"/>
          <w:sz w:val="28"/>
          <w:szCs w:val="28"/>
        </w:rPr>
        <w:t xml:space="preserve">Historical Perspective</w:t>
      </w:r>
    </w:p>
    <w:p>
      <w:pPr>
        <w:spacing w:after="120" w:before="80"/>
        <w:jc w:val="both"/>
      </w:pPr>
      <w:r>
        <w:rPr>
          <w:rFonts w:ascii="Arial" w:cs="Arial" w:eastAsia="Arial" w:hAnsi="Arial"/>
          <w:color w:val="1A1A1A"/>
          <w:sz w:val="22"/>
          <w:szCs w:val="22"/>
        </w:rPr>
        <w:t xml:space="preserve">ASCAP was founded in 1914, making it the oldest PRO in the United States. Its founding members included Victor Herbert, John Philip Sousa, and Irving Berlin, who sought a mechanism to enforce the public performance right and ensure composers were compensated for commercial exploitation of their music. Early ASCAP licensing faced significant legal challenges, as music users resisted paying for performances they had previously conducted without charge.</w:t>
      </w:r>
    </w:p>
    <w:p>
      <w:pPr>
        <w:spacing w:after="120" w:before="80"/>
        <w:jc w:val="both"/>
      </w:pPr>
      <w:r>
        <w:rPr>
          <w:rFonts w:ascii="Arial" w:cs="Arial" w:eastAsia="Arial" w:hAnsi="Arial"/>
          <w:color w:val="1A1A1A"/>
          <w:sz w:val="22"/>
          <w:szCs w:val="22"/>
        </w:rPr>
        <w:t xml:space="preserve">BMI was established in 1939 by radio broadcasters as a competitor to ASCAP, which had sought substantial rate increases. BMI expanded its membership to include genres—country, rhythm and blues, gospel—that ASCAP had largely ignored, establishing a more diverse catalog from its inception. SESAC, originally the Society of European Stage Authors and Composers, was founded in 1930 as a for-profit PRO and has evolved into a selective, invitation-only organization representing a curated roster of high-value songwriters and publishers.</w:t>
      </w:r>
    </w:p>
    <w:p>
      <w:pPr>
        <w:spacing w:after="120" w:before="80"/>
        <w:jc w:val="both"/>
      </w:pPr>
      <w:r>
        <w:rPr>
          <w:rFonts w:ascii="Arial" w:cs="Arial" w:eastAsia="Arial" w:hAnsi="Arial"/>
          <w:color w:val="1A1A1A"/>
          <w:sz w:val="22"/>
          <w:szCs w:val="22"/>
        </w:rPr>
        <w:t xml:space="preserve">Both ASCAP and BMI operate under consent decrees with the U.S. Department of Justice—ASCAP since 1941, BMI since 1941—which govern, among other things, the terms on which the organizations must license their repertoires and the process for setting license fees. These consent decrees have been modified multiple times and remain a subject of ongoing negotiation and litigation. In 2021, the DOJ concluded a review of the consent decrees without major modifications, leaving the existing framework largely intact.</w:t>
      </w:r>
    </w:p>
    <w:p>
      <w:pPr>
        <w:pStyle w:val="Heading2"/>
        <w:spacing w:after="180" w:before="360"/>
      </w:pPr>
      <w:r>
        <w:rPr>
          <w:rFonts w:ascii="Arial" w:cs="Arial" w:eastAsia="Arial" w:hAnsi="Arial"/>
          <w:b/>
          <w:bCs/>
          <w:color w:val="0D2137"/>
          <w:sz w:val="28"/>
          <w:szCs w:val="28"/>
        </w:rPr>
        <w:t xml:space="preserve">How to Join a PRO</w:t>
      </w:r>
    </w:p>
    <w:p>
      <w:pPr>
        <w:spacing w:after="120" w:before="80"/>
        <w:jc w:val="both"/>
      </w:pPr>
      <w:r>
        <w:rPr>
          <w:rFonts w:ascii="Arial" w:cs="Arial" w:eastAsia="Arial" w:hAnsi="Arial"/>
          <w:color w:val="1A1A1A"/>
          <w:sz w:val="22"/>
          <w:szCs w:val="22"/>
        </w:rPr>
        <w:t xml:space="preserve">Membership in a U.S. PRO is available to both songwriters (the writer member) and music publishers (the publisher member). A songwriter and their affiliated publishing entity must affiliate with the same PRO for domestic performance royalties.</w:t>
      </w:r>
    </w:p>
    <w:p>
      <w:pPr>
        <w:spacing w:after="120" w:before="80"/>
        <w:jc w:val="both"/>
      </w:pPr>
      <w:r>
        <w:rPr>
          <w:rFonts w:ascii="Arial" w:cs="Arial" w:eastAsia="Arial" w:hAnsi="Arial"/>
          <w:color w:val="1A1A1A"/>
          <w:sz w:val="22"/>
          <w:szCs w:val="22"/>
        </w:rPr>
        <w:t xml:space="preserve">ASCAP membership is open to any composer, lyricist, or music publisher. The application is completed online at ascap.com; the current one-time application fee is $50 for writers and $50 for publishers. ASCAP is a membership organization owned and governed by its writer and publisher members.</w:t>
      </w:r>
    </w:p>
    <w:p>
      <w:pPr>
        <w:spacing w:after="120" w:before="80"/>
        <w:jc w:val="both"/>
      </w:pPr>
      <w:r>
        <w:rPr>
          <w:rFonts w:ascii="Arial" w:cs="Arial" w:eastAsia="Arial" w:hAnsi="Arial"/>
          <w:color w:val="1A1A1A"/>
          <w:sz w:val="22"/>
          <w:szCs w:val="22"/>
        </w:rPr>
        <w:t xml:space="preserve">BMI membership for songwriters and lyricists is free. Publisher affiliates pay a one-time application fee of $150 for single-owned entities or $250 for corporations and limited liability companies. BMI is a corporation; unlike ASCAP, it does not distribute all collected revenues—it retains a percentage as operating income.</w:t>
      </w:r>
    </w:p>
    <w:p>
      <w:pPr>
        <w:spacing w:after="120" w:before="80"/>
        <w:jc w:val="both"/>
      </w:pPr>
      <w:r>
        <w:rPr>
          <w:rFonts w:ascii="Arial" w:cs="Arial" w:eastAsia="Arial" w:hAnsi="Arial"/>
          <w:color w:val="1A1A1A"/>
          <w:sz w:val="22"/>
          <w:szCs w:val="22"/>
        </w:rPr>
        <w:t xml:space="preserve">SESAC membership is by invitation only. SESAC evaluates prospective affiliates based on the commercial viability and performance activity of their catalog. Affiliation with SESAC carries certain practical advantages, including reportedly higher royalty rates per performance for certain formats, though this is offset by the selectivity of the roster.</w:t>
      </w:r>
    </w:p>
    <w:p>
      <w:pPr>
        <w:spacing w:after="120" w:before="80"/>
        <w:jc w:val="both"/>
      </w:pPr>
      <w:r>
        <w:rPr>
          <w:rFonts w:ascii="Arial" w:cs="Arial" w:eastAsia="Arial" w:hAnsi="Arial"/>
          <w:color w:val="1A1A1A"/>
          <w:sz w:val="22"/>
          <w:szCs w:val="22"/>
        </w:rPr>
        <w:t xml:space="preserve">For MusiGod's publishing administration model, artist onboarding includes PRO registration as a core service. The appropriate PRO for each artist will depend on the artist's existing affiliations, catalog profile, and target markets. MusiGod registers the affiliated publishing entity concurrent with artist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1: </w:t>
            </w:r>
            <w:r>
              <w:rPr>
                <w:rFonts w:ascii="Arial" w:cs="Arial" w:eastAsia="Arial" w:hAnsi="Arial"/>
                <w:b/>
                <w:bCs/>
                <w:color w:val="FFFFFF"/>
                <w:sz w:val="22"/>
                <w:szCs w:val="22"/>
              </w:rPr>
              <w:t xml:space="preserve">PRO AFFILIATION FOR A NEW INDEPENDENT SONGWRITER</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Marcus Allen is a Detroit-based songwriter who has written and independently released twelve original compositions under his own name. He has generated significant streaming activity—over 2 million streams across all platforms—but has not registered with any PRO or established a publishing entity. He approaches MusiGod for publishing administration services.</w:t>
      </w:r>
    </w:p>
    <w:p>
      <w:pPr>
        <w:spacing w:after="120" w:before="80"/>
        <w:jc w:val="both"/>
      </w:pPr>
      <w:r>
        <w:rPr>
          <w:rFonts w:ascii="Arial" w:cs="Arial" w:eastAsia="Arial" w:hAnsi="Arial"/>
          <w:color w:val="1A1A1A"/>
          <w:sz w:val="22"/>
          <w:szCs w:val="22"/>
        </w:rPr>
        <w:t xml:space="preserve">Issue: Marcus has been receiving mechanical royalties via the MLC for digital streaming but has received zero performance royalties because he has no PRO affiliation and no publisher registered to collect the publisher's share of performance royalties.</w:t>
      </w:r>
    </w:p>
    <w:p>
      <w:pPr>
        <w:spacing w:after="120" w:before="80"/>
        <w:jc w:val="both"/>
      </w:pPr>
      <w:r>
        <w:rPr>
          <w:rFonts w:ascii="Arial" w:cs="Arial" w:eastAsia="Arial" w:hAnsi="Arial"/>
          <w:color w:val="1A1A1A"/>
          <w:sz w:val="22"/>
          <w:szCs w:val="22"/>
        </w:rPr>
        <w:t xml:space="preserve">Analysis: Performance royalties for a musical composition are split between two parties: the songwriter (50%, the writer's share) and the publisher (50%, the publisher's share). If Marcus has no PRO affiliation, he receives neither share. If he is affiliated as a writer but has no publisher affiliate registered, the publisher's share accumulates in the PRO's undistributed pool and is eventually redistributed among affiliated publishers—a windfall for other publishers at Marcus's expense.</w:t>
      </w:r>
    </w:p>
    <w:p>
      <w:pPr>
        <w:spacing w:after="120" w:before="80"/>
        <w:jc w:val="both"/>
      </w:pPr>
      <w:r>
        <w:rPr>
          <w:rFonts w:ascii="Arial" w:cs="Arial" w:eastAsia="Arial" w:hAnsi="Arial"/>
          <w:color w:val="1A1A1A"/>
          <w:sz w:val="22"/>
          <w:szCs w:val="22"/>
        </w:rPr>
        <w:t xml:space="preserve">Resolution: MusiGod registers Marcus as a writer member with the PRO of his choice. MusiGod simultaneously registers its affiliated publishing entity as the publisher member under the same PRO. MusiGod files registration for all twelve compositions under both Marcus's writer identity and MusiGod's publisher identity. Going forward, both the writer's share and the publisher's share of performance royalties on Marcus's catalog will be properly collected and distributed.</w:t>
      </w:r>
    </w:p>
    <w:p>
      <w:pPr>
        <w:spacing w:after="120" w:before="80"/>
        <w:jc w:val="both"/>
      </w:pPr>
      <w:r>
        <w:rPr>
          <w:rFonts w:ascii="Arial" w:cs="Arial" w:eastAsia="Arial" w:hAnsi="Arial"/>
          <w:color w:val="1A1A1A"/>
          <w:sz w:val="22"/>
          <w:szCs w:val="22"/>
        </w:rPr>
        <w:t xml:space="preserve">Outcome: Within two quarterly distribution cycles, Marcus begins receiving performance royalties on past and current activity. The retroactive recovery on 2 million streams, depending on the format breakdown and applicable rates, may represent several thousand dollars in previously uncollected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The writer's share vs. publisher's share split is one of the most persistently misunderstood concepts in music publishing. Executive management must internalize this structure: a songwriter without a registered publisher affiliate is forfeiting 50% of their performance royalty income on every performance of every composition in their catalog. At scale, this represents a material revenue leak. MusiGod's model addresses this directly by registering both sides of the split as part of standard onboarding.</w:t>
            </w:r>
          </w:p>
        </w:tc>
      </w:tr>
    </w:tbl>
    <w:p>
      <w:pPr>
        <w:pStyle w:val="Heading2"/>
        <w:spacing w:after="180" w:before="360"/>
      </w:pPr>
      <w:r>
        <w:rPr>
          <w:rFonts w:ascii="Arial" w:cs="Arial" w:eastAsia="Arial" w:hAnsi="Arial"/>
          <w:b/>
          <w:bCs/>
          <w:color w:val="0D2137"/>
          <w:sz w:val="28"/>
          <w:szCs w:val="28"/>
        </w:rPr>
        <w:t xml:space="preserve">Registering Songs</w:t>
      </w:r>
    </w:p>
    <w:p>
      <w:pPr>
        <w:spacing w:after="120" w:before="80"/>
        <w:jc w:val="both"/>
      </w:pPr>
      <w:r>
        <w:rPr>
          <w:rFonts w:ascii="Arial" w:cs="Arial" w:eastAsia="Arial" w:hAnsi="Arial"/>
          <w:color w:val="1A1A1A"/>
          <w:sz w:val="22"/>
          <w:szCs w:val="22"/>
        </w:rPr>
        <w:t xml:space="preserve">Registration of individual compositions with a PRO is distinct from copyright registration with the U.S. Copyright Office and is separately required for performance royalty collection. A PRO cannot track and pay royalties on a composition unless that composition has been registered in the PRO's system with accurate metadata.</w:t>
      </w:r>
    </w:p>
    <w:p>
      <w:pPr>
        <w:spacing w:after="120" w:before="80"/>
        <w:jc w:val="both"/>
      </w:pPr>
      <w:r>
        <w:rPr>
          <w:rFonts w:ascii="Arial" w:cs="Arial" w:eastAsia="Arial" w:hAnsi="Arial"/>
          <w:color w:val="1A1A1A"/>
          <w:sz w:val="22"/>
          <w:szCs w:val="22"/>
        </w:rPr>
        <w:t xml:space="preserve">Each PRO maintains its own online portal for composition registration. Required information typically includes: composition title, ISWC (International Standard Musical Work Code, if assigned), writer name(s), writer PRO affiliation and IPI number, publisher name(s), publisher PRO affiliation and IPI number, ownership splits, and applicable performing rights territory.</w:t>
      </w:r>
    </w:p>
    <w:p>
      <w:pPr>
        <w:spacing w:after="120" w:before="80"/>
        <w:jc w:val="both"/>
      </w:pPr>
      <w:r>
        <w:rPr>
          <w:rFonts w:ascii="Arial" w:cs="Arial" w:eastAsia="Arial" w:hAnsi="Arial"/>
          <w:color w:val="1A1A1A"/>
          <w:sz w:val="22"/>
          <w:szCs w:val="22"/>
        </w:rPr>
        <w:t xml:space="preserve">Accurate metadata is critical. Errors in songwriter names, IPI numbers, or ownership splits are a primary cause of unmatched performances and unallocated royalties. In a high-volume publishing operation, a systematic metadata quality control process—validated at point of entry and audited periodically—is essential to minimize royalty leakage.</w:t>
      </w:r>
    </w:p>
    <w:p>
      <w:pPr>
        <w:spacing w:after="120" w:before="80"/>
        <w:jc w:val="both"/>
      </w:pPr>
      <w:r>
        <w:rPr>
          <w:rFonts w:ascii="Arial" w:cs="Arial" w:eastAsia="Arial" w:hAnsi="Arial"/>
          <w:color w:val="1A1A1A"/>
          <w:sz w:val="22"/>
          <w:szCs w:val="22"/>
        </w:rPr>
        <w:t xml:space="preserve">The ISWC (International Standard Musical Work Code) is a unique identifier for musical works, analogous to an ISBN for books. ISWC assignment is administered through affiliated organizations in each territory. In the United States, ASCAP, BMI, and SESAC all assign ISWCs. Use of ISWCs in composition registration improves the accuracy of performance matching globally and is strongly recommended.</w:t>
      </w:r>
    </w:p>
    <w:p>
      <w:pPr>
        <w:pStyle w:val="Heading2"/>
        <w:spacing w:after="180" w:before="360"/>
      </w:pPr>
      <w:r>
        <w:rPr>
          <w:rFonts w:ascii="Arial" w:cs="Arial" w:eastAsia="Arial" w:hAnsi="Arial"/>
          <w:b/>
          <w:bCs/>
          <w:color w:val="0D2137"/>
          <w:sz w:val="28"/>
          <w:szCs w:val="28"/>
        </w:rPr>
        <w:t xml:space="preserve">Monitoring the Uses of Music</w:t>
      </w:r>
    </w:p>
    <w:p>
      <w:pPr>
        <w:spacing w:after="120" w:before="80"/>
        <w:jc w:val="both"/>
      </w:pPr>
      <w:r>
        <w:rPr>
          <w:rFonts w:ascii="Arial" w:cs="Arial" w:eastAsia="Arial" w:hAnsi="Arial"/>
          <w:color w:val="1A1A1A"/>
          <w:sz w:val="22"/>
          <w:szCs w:val="22"/>
        </w:rPr>
        <w:t xml:space="preserve">The methodologies by which PROs track performances have evolved significantly over the decades, from manual logging and statistical sampling to sophisticated digital fingerprinting and electronic detection. The accuracy and comprehensiveness of performance monitoring directly determines the accuracy of royalty distributions.</w:t>
      </w:r>
    </w:p>
    <w:p>
      <w:pPr>
        <w:spacing w:after="120" w:before="80"/>
        <w:jc w:val="both"/>
      </w:pPr>
      <w:r>
        <w:rPr>
          <w:rFonts w:ascii="Arial" w:cs="Arial" w:eastAsia="Arial" w:hAnsi="Arial"/>
          <w:color w:val="1A1A1A"/>
          <w:sz w:val="22"/>
          <w:szCs w:val="22"/>
        </w:rPr>
        <w:t xml:space="preserve">Radio monitoring in the United States relies on a combination of direct reporting (broadcasters file cue sheets and playlist logs), digital fingerprinting (audio recognition technology that identifies compositions in broadcast streams), and statistical sampling (for smaller-market broadcasters). Major broadcast networks report directly; the monitoring system supplements direct reporting with technological matching.</w:t>
      </w:r>
    </w:p>
    <w:p>
      <w:pPr>
        <w:spacing w:after="120" w:before="80"/>
        <w:jc w:val="both"/>
      </w:pPr>
      <w:r>
        <w:rPr>
          <w:rFonts w:ascii="Arial" w:cs="Arial" w:eastAsia="Arial" w:hAnsi="Arial"/>
          <w:color w:val="1A1A1A"/>
          <w:sz w:val="22"/>
          <w:szCs w:val="22"/>
        </w:rPr>
        <w:t xml:space="preserve">For live performance venues, PROs require licensees to submit set lists or performance reports. Compliance varies significantly; large venues with sophisticated operations typically report accurately, while smaller venues frequently do not. Both ASCAP and BMI use statistical sampling and weighting methodologies to extrapolate distributions for performances that are not directly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2: </w:t>
            </w:r>
            <w:r>
              <w:rPr>
                <w:rFonts w:ascii="Arial" w:cs="Arial" w:eastAsia="Arial" w:hAnsi="Arial"/>
                <w:b/>
                <w:bCs/>
                <w:color w:val="FFFFFF"/>
                <w:sz w:val="22"/>
                <w:szCs w:val="22"/>
              </w:rPr>
              <w:t xml:space="preserve">UNDETECTED PERFORMANCE ROYALTIES FROM INTERNET RADIO</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mid-catalog composition—a blues-influenced track registered with ASCAP in 2015—is identified by the publisher's royalty audit as generating substantially lower performance royalties than expected given its known streaming activity.</w:t>
      </w:r>
    </w:p>
    <w:p>
      <w:pPr>
        <w:spacing w:after="120" w:before="80"/>
        <w:jc w:val="both"/>
      </w:pPr>
      <w:r>
        <w:rPr>
          <w:rFonts w:ascii="Arial" w:cs="Arial" w:eastAsia="Arial" w:hAnsi="Arial"/>
          <w:color w:val="1A1A1A"/>
          <w:sz w:val="22"/>
          <w:szCs w:val="22"/>
        </w:rPr>
        <w:t xml:space="preserve">Issue: Streaming performance data from DSP reports indicates consistent playlist placement on multiple internet radio stations over a 24-month period. ASCAP royalty statements for the same period show minimal internet radio performance income.</w:t>
      </w:r>
    </w:p>
    <w:p>
      <w:pPr>
        <w:spacing w:after="120" w:before="80"/>
        <w:jc w:val="both"/>
      </w:pPr>
      <w:r>
        <w:rPr>
          <w:rFonts w:ascii="Arial" w:cs="Arial" w:eastAsia="Arial" w:hAnsi="Arial"/>
          <w:color w:val="1A1A1A"/>
          <w:sz w:val="22"/>
          <w:szCs w:val="22"/>
        </w:rPr>
        <w:t xml:space="preserve">Analysis: Investigation reveals that the composition was registered with ASCAP under a variant title—a transposition of two words in the composition's title—that caused a metadata mismatch in ASCAP's performance matching system. Performances were being detected and logged, but the matched work was flagged as unidentified and held in an unallocated pool.</w:t>
      </w:r>
    </w:p>
    <w:p>
      <w:pPr>
        <w:spacing w:after="120" w:before="80"/>
        <w:jc w:val="both"/>
      </w:pPr>
      <w:r>
        <w:rPr>
          <w:rFonts w:ascii="Arial" w:cs="Arial" w:eastAsia="Arial" w:hAnsi="Arial"/>
          <w:color w:val="1A1A1A"/>
          <w:sz w:val="22"/>
          <w:szCs w:val="22"/>
        </w:rPr>
        <w:t xml:space="preserve">Resolution: Publisher files a title correction with ASCAP and submits documentation of the correct metadata. ASCAP conducts a retroactive match review and reallocates previously unmatched distributions back to the correct composition.</w:t>
      </w:r>
    </w:p>
    <w:p>
      <w:pPr>
        <w:spacing w:after="120" w:before="80"/>
        <w:jc w:val="both"/>
      </w:pPr>
      <w:r>
        <w:rPr>
          <w:rFonts w:ascii="Arial" w:cs="Arial" w:eastAsia="Arial" w:hAnsi="Arial"/>
          <w:color w:val="1A1A1A"/>
          <w:sz w:val="22"/>
          <w:szCs w:val="22"/>
        </w:rPr>
        <w:t xml:space="preserve">Outcome: Publisher recovers 18 months of misallocated internet radio performance royalties. Total recovery: approximately $3,200. The incident prompts implementation of a quarterly metadata verification protocol across the full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Metadata errors are the single largest source of preventable royalty leakage in publishing administration. A title transposition, a misspelled surname, or an incorrect IPI number can silently divert years of performance income. Systematic metadata auditing—not just at registration but on an ongoing basis—is a core competency of a well-run publishing operation.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3: </w:t>
            </w:r>
            <w:r>
              <w:rPr>
                <w:rFonts w:ascii="Arial" w:cs="Arial" w:eastAsia="Arial" w:hAnsi="Arial"/>
                <w:b/>
                <w:bCs/>
                <w:color w:val="FFFFFF"/>
                <w:sz w:val="22"/>
                <w:szCs w:val="22"/>
              </w:rPr>
              <w:t xml:space="preserve">LIVE PERFORMANCE ROYALTIES FOR A TOURING ARTIST</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songwriter-performer with an active touring schedule plays 80 live shows per year across the United States. All performances feature original compositions registered with BMI.</w:t>
      </w:r>
    </w:p>
    <w:p>
      <w:pPr>
        <w:spacing w:after="120" w:before="80"/>
        <w:jc w:val="both"/>
      </w:pPr>
      <w:r>
        <w:rPr>
          <w:rFonts w:ascii="Arial" w:cs="Arial" w:eastAsia="Arial" w:hAnsi="Arial"/>
          <w:color w:val="1A1A1A"/>
          <w:sz w:val="22"/>
          <w:szCs w:val="22"/>
        </w:rPr>
        <w:t xml:space="preserve">Issue: BMI royalty statements for live performance income are substantially lower than expected given the venue sizes and performance frequency.</w:t>
      </w:r>
    </w:p>
    <w:p>
      <w:pPr>
        <w:spacing w:after="120" w:before="80"/>
        <w:jc w:val="both"/>
      </w:pPr>
      <w:r>
        <w:rPr>
          <w:rFonts w:ascii="Arial" w:cs="Arial" w:eastAsia="Arial" w:hAnsi="Arial"/>
          <w:color w:val="1A1A1A"/>
          <w:sz w:val="22"/>
          <w:szCs w:val="22"/>
        </w:rPr>
        <w:t xml:space="preserve">Analysis: Review reveals that the majority of venues are not filing set list reports with BMI. The venue blanket licenses are in place, but performance reporting compliance is poor. BMI's statistical sampling methodology provides some income, but the composer-specific allocation is diluted by the lack of direct reporting.</w:t>
      </w:r>
    </w:p>
    <w:p>
      <w:pPr>
        <w:spacing w:after="120" w:before="80"/>
        <w:jc w:val="both"/>
      </w:pPr>
      <w:r>
        <w:rPr>
          <w:rFonts w:ascii="Arial" w:cs="Arial" w:eastAsia="Arial" w:hAnsi="Arial"/>
          <w:color w:val="1A1A1A"/>
          <w:sz w:val="22"/>
          <w:szCs w:val="22"/>
        </w:rPr>
        <w:t xml:space="preserve">Resolution: MusiGod implements a set list reporting service as part of its administration. After each performance, the touring manager submits a set list to BMI via the BMI Live app. Additionally, MusiGod sends reminders and template set list forms to venue booking contacts for larger shows.</w:t>
      </w:r>
    </w:p>
    <w:p>
      <w:pPr>
        <w:spacing w:after="120" w:before="80"/>
        <w:jc w:val="both"/>
      </w:pPr>
      <w:r>
        <w:rPr>
          <w:rFonts w:ascii="Arial" w:cs="Arial" w:eastAsia="Arial" w:hAnsi="Arial"/>
          <w:color w:val="1A1A1A"/>
          <w:sz w:val="22"/>
          <w:szCs w:val="22"/>
        </w:rPr>
        <w:t xml:space="preserve">Outcome: Within two quarters, live performance royalties increase by approximately 340% as direct reporting supplements statistical allocation. The artist's catalog is now accurately represented in BMI's live performance database, improving both current distributions and future statistical model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BMI Live and ASCAP's equivalent set list submission tools are systematically underutilized by touring artists and their teams. Publishing administrators who proactively manage set list reporting provide immediate, measurable financial benefit to their clients. This is a high-value, low-cost service that should be standard in any administration offering targeting active performers.</w:t>
            </w:r>
          </w:p>
        </w:tc>
      </w:tr>
    </w:tbl>
    <w:p>
      <w:pPr>
        <w:pStyle w:val="Heading2"/>
        <w:spacing w:after="180" w:before="360"/>
      </w:pPr>
      <w:r>
        <w:rPr>
          <w:rFonts w:ascii="Arial" w:cs="Arial" w:eastAsia="Arial" w:hAnsi="Arial"/>
          <w:b/>
          <w:bCs/>
          <w:color w:val="0D2137"/>
          <w:sz w:val="28"/>
          <w:szCs w:val="28"/>
        </w:rPr>
        <w:t xml:space="preserve">Blanket vs. Per Program Licenses</w:t>
      </w:r>
    </w:p>
    <w:p>
      <w:pPr>
        <w:spacing w:after="120" w:before="80"/>
        <w:jc w:val="both"/>
      </w:pPr>
      <w:r>
        <w:rPr>
          <w:rFonts w:ascii="Arial" w:cs="Arial" w:eastAsia="Arial" w:hAnsi="Arial"/>
          <w:color w:val="1A1A1A"/>
          <w:sz w:val="22"/>
          <w:szCs w:val="22"/>
        </w:rPr>
        <w:t xml:space="preserve">The blanket license is the dominant licensing model employed by PROs in the United States. Under a blanket license, the licensee (a broadcaster, streaming service, venue, or other music user) pays a single fee—typically calculated as a percentage of revenue or a flat annual fee—and receives the right to perform any and all compositions in the PRO's repertoire without restriction. The license fee is then allocated to individual copyright owners based on performance monitoring data.</w:t>
      </w:r>
    </w:p>
    <w:p>
      <w:pPr>
        <w:spacing w:after="120" w:before="80"/>
        <w:jc w:val="both"/>
      </w:pPr>
      <w:r>
        <w:rPr>
          <w:rFonts w:ascii="Arial" w:cs="Arial" w:eastAsia="Arial" w:hAnsi="Arial"/>
          <w:color w:val="1A1A1A"/>
          <w:sz w:val="22"/>
          <w:szCs w:val="22"/>
        </w:rPr>
        <w:t xml:space="preserve">The per program license is an alternative model under which the licensee pays only for the use of PRO-licensed music in specific programs, rather than for unlimited access to the entire repertoire. Per program licenses are available to broadcasters under the ASCAP and BMI consent decrees and are typically elected by users whose programming relies heavily on music not in the PRO's repertoire—for example, broadcasters of classical music with significant public domain content, or sports networks that use little music.</w:t>
      </w:r>
    </w:p>
    <w:p>
      <w:pPr>
        <w:spacing w:after="120" w:before="80"/>
        <w:jc w:val="both"/>
      </w:pPr>
      <w:r>
        <w:rPr>
          <w:rFonts w:ascii="Arial" w:cs="Arial" w:eastAsia="Arial" w:hAnsi="Arial"/>
          <w:color w:val="1A1A1A"/>
          <w:sz w:val="22"/>
          <w:szCs w:val="22"/>
        </w:rPr>
        <w:t xml:space="preserve">From a publisher's perspective, the blanket license model provides broad, consistent coverage and simplifies the administrative burden of licensing. Its principal limitation is that the allocation methodology may not perfectly reflect the commercial value of individual compositions relative to others in the repertoire.</w:t>
      </w:r>
    </w:p>
    <w:p>
      <w:pPr>
        <w:pStyle w:val="Heading2"/>
        <w:spacing w:after="180" w:before="360"/>
      </w:pPr>
      <w:r>
        <w:rPr>
          <w:rFonts w:ascii="Arial" w:cs="Arial" w:eastAsia="Arial" w:hAnsi="Arial"/>
          <w:b/>
          <w:bCs/>
          <w:color w:val="0D2137"/>
          <w:sz w:val="28"/>
          <w:szCs w:val="28"/>
        </w:rPr>
        <w:t xml:space="preserve">Source Licensing or Direct Licensing</w:t>
      </w:r>
    </w:p>
    <w:p>
      <w:pPr>
        <w:spacing w:after="120" w:before="80"/>
        <w:jc w:val="both"/>
      </w:pPr>
      <w:r>
        <w:rPr>
          <w:rFonts w:ascii="Arial" w:cs="Arial" w:eastAsia="Arial" w:hAnsi="Arial"/>
          <w:color w:val="1A1A1A"/>
          <w:sz w:val="22"/>
          <w:szCs w:val="22"/>
        </w:rPr>
        <w:t xml:space="preserve">Source licensing (also called direct licensing) refers to a copyright owner negotiating and executing a public performance license directly with a specific user, outside of the PRO framework. An artist or publisher who direct licenses a performance right instructs their PRO to exclude that use from its blanket license offerings.</w:t>
      </w:r>
    </w:p>
    <w:p>
      <w:pPr>
        <w:spacing w:after="120" w:before="80"/>
        <w:jc w:val="both"/>
      </w:pPr>
      <w:r>
        <w:rPr>
          <w:rFonts w:ascii="Arial" w:cs="Arial" w:eastAsia="Arial" w:hAnsi="Arial"/>
          <w:color w:val="1A1A1A"/>
          <w:sz w:val="22"/>
          <w:szCs w:val="22"/>
        </w:rPr>
        <w:t xml:space="preserve">Direct licensing has been a contentious issue, particularly as large technology companies have sought to license directly from major publishers rather than through PROs. Publishers generally prefer direct licensing for major uses because it allows them to negotiate rates unencumbered by the consent decree rate-setting framework, which historically has produced below-market rates. The consent decrees require ASCAP and BMI to license all applicants at rates that, if disputed, are determined by federal rate courts—a mechanism that has consistently produced outcomes that many publishers regard as unfavorable.</w:t>
      </w:r>
    </w:p>
    <w:p>
      <w:pPr>
        <w:pStyle w:val="Heading2"/>
        <w:spacing w:after="180" w:before="360"/>
      </w:pPr>
      <w:r>
        <w:rPr>
          <w:rFonts w:ascii="Arial" w:cs="Arial" w:eastAsia="Arial" w:hAnsi="Arial"/>
          <w:b/>
          <w:bCs/>
          <w:color w:val="0D2137"/>
          <w:sz w:val="28"/>
          <w:szCs w:val="28"/>
        </w:rPr>
        <w:t xml:space="preserve">Non-Broadcast Uses</w:t>
      </w:r>
    </w:p>
    <w:p>
      <w:pPr>
        <w:spacing w:after="120" w:before="80"/>
        <w:jc w:val="both"/>
      </w:pPr>
      <w:r>
        <w:rPr>
          <w:rFonts w:ascii="Arial" w:cs="Arial" w:eastAsia="Arial" w:hAnsi="Arial"/>
          <w:color w:val="1A1A1A"/>
          <w:sz w:val="22"/>
          <w:szCs w:val="22"/>
        </w:rPr>
        <w:t xml:space="preserve">Performance royalties are not limited to broadcast contexts. PROs license a wide range of non-broadcast music users, including: hotels and motels, restaurants and bars, retail stores, gyms and fitness centers, airlines, colleges and universities, sports arenas, and background music services. Each category of licensee has its own fee schedule, typically based on factors such as the licensee's gross revenue, the type of music used, and the number of locations.</w:t>
      </w:r>
    </w:p>
    <w:p>
      <w:pPr>
        <w:spacing w:after="120" w:before="80"/>
        <w:jc w:val="both"/>
      </w:pPr>
      <w:r>
        <w:rPr>
          <w:rFonts w:ascii="Arial" w:cs="Arial" w:eastAsia="Arial" w:hAnsi="Arial"/>
          <w:color w:val="1A1A1A"/>
          <w:sz w:val="22"/>
          <w:szCs w:val="22"/>
        </w:rPr>
        <w:t xml:space="preserve">For publishing administration purposes, non-broadcast performance royalties represent a meaningful revenue stream that is easily overlooked. The PRO's domestic non-broadcast licensing operations function largely automatically once compositions are properly registered, but audit and verification of correct categorization and licensing coverage remain important administrative functions.</w:t>
      </w:r>
    </w:p>
    <w:p>
      <w:pPr>
        <w:pStyle w:val="Heading2"/>
        <w:spacing w:after="180" w:before="360"/>
      </w:pPr>
      <w:r>
        <w:rPr>
          <w:rFonts w:ascii="Arial" w:cs="Arial" w:eastAsia="Arial" w:hAnsi="Arial"/>
          <w:b/>
          <w:bCs/>
          <w:color w:val="0D2137"/>
          <w:sz w:val="28"/>
          <w:szCs w:val="28"/>
        </w:rPr>
        <w:t xml:space="preserve">Electronic Detection Methods</w:t>
      </w:r>
    </w:p>
    <w:p>
      <w:pPr>
        <w:spacing w:after="120" w:before="80"/>
        <w:jc w:val="both"/>
      </w:pPr>
      <w:r>
        <w:rPr>
          <w:rFonts w:ascii="Arial" w:cs="Arial" w:eastAsia="Arial" w:hAnsi="Arial"/>
          <w:color w:val="1A1A1A"/>
          <w:sz w:val="22"/>
          <w:szCs w:val="22"/>
        </w:rPr>
        <w:t xml:space="preserve">Both ASCAP and BMI have invested heavily in electronic music recognition (EMR) technology to improve performance monitoring accuracy. These systems use audio fingerprinting technology—analogous to Shazam—to identify compositions in broadcast and streaming content by matching audio signals against a database of registered works. Digital fingerprinting operates continuously and at scale, enabling identification of performances that manual reporting would miss entirely.</w:t>
      </w:r>
    </w:p>
    <w:p>
      <w:pPr>
        <w:spacing w:after="120" w:before="80"/>
        <w:jc w:val="both"/>
      </w:pPr>
      <w:r>
        <w:rPr>
          <w:rFonts w:ascii="Arial" w:cs="Arial" w:eastAsia="Arial" w:hAnsi="Arial"/>
          <w:color w:val="1A1A1A"/>
          <w:sz w:val="22"/>
          <w:szCs w:val="22"/>
        </w:rPr>
        <w:t xml:space="preserve">The introduction of EMR has substantially improved royalty accuracy for radio monitoring, television monitoring, and internet streaming. However, live performance monitoring remains largely dependent on voluntary set list reporting. Emerging technologies including ambient audio monitoring at venues are being piloted but have not yet achieved widespread deployment.</w:t>
      </w:r>
    </w:p>
    <w:p>
      <w:pPr>
        <w:pStyle w:val="Heading2"/>
        <w:spacing w:after="180" w:before="360"/>
      </w:pPr>
      <w:r>
        <w:rPr>
          <w:rFonts w:ascii="Arial" w:cs="Arial" w:eastAsia="Arial" w:hAnsi="Arial"/>
          <w:b/>
          <w:bCs/>
          <w:color w:val="0D2137"/>
          <w:sz w:val="28"/>
          <w:szCs w:val="28"/>
        </w:rPr>
        <w:t xml:space="preserve">Performing Rights and the Internet</w:t>
      </w:r>
    </w:p>
    <w:p>
      <w:pPr>
        <w:spacing w:after="120" w:before="80"/>
        <w:jc w:val="both"/>
      </w:pPr>
      <w:r>
        <w:rPr>
          <w:rFonts w:ascii="Arial" w:cs="Arial" w:eastAsia="Arial" w:hAnsi="Arial"/>
          <w:color w:val="1A1A1A"/>
          <w:sz w:val="22"/>
          <w:szCs w:val="22"/>
        </w:rPr>
        <w:t xml:space="preserve">The growth of internet-based music distribution has created significant new performance royalty revenue streams—and significant legal and regulatory complexity. Interactive streaming services (those that allow users to select specific tracks on demand) implicate both the public performance right and the mechanical reproduction right. Non-interactive streaming services (internet radio, programmatic streaming) implicate primarily the public performance right.</w:t>
      </w:r>
    </w:p>
    <w:p>
      <w:pPr>
        <w:spacing w:after="120" w:before="80"/>
        <w:jc w:val="both"/>
      </w:pPr>
      <w:r>
        <w:rPr>
          <w:rFonts w:ascii="Arial" w:cs="Arial" w:eastAsia="Arial" w:hAnsi="Arial"/>
          <w:color w:val="1A1A1A"/>
          <w:sz w:val="22"/>
          <w:szCs w:val="22"/>
        </w:rPr>
        <w:t xml:space="preserve">Major interactive streaming services—Spotify, Apple Music, Amazon Music, Tidal—pay both performance royalties (via PROs for the musical composition copyright) and mechanical royalties (via the MLC under the Section 115 blanket license). The bifurcation of these rights and the involvement of multiple licensing bodies creates complexity in tracking total income on a per-composition basis, which is a core function of publishing administration.</w:t>
      </w:r>
    </w:p>
    <w:p>
      <w:pPr>
        <w:spacing w:after="120" w:before="80"/>
        <w:jc w:val="both"/>
      </w:pPr>
      <w:r>
        <w:rPr>
          <w:rFonts w:ascii="Arial" w:cs="Arial" w:eastAsia="Arial" w:hAnsi="Arial"/>
          <w:color w:val="1A1A1A"/>
          <w:sz w:val="22"/>
          <w:szCs w:val="22"/>
        </w:rPr>
        <w:t xml:space="preserve">The rates at which PROs license interactive streaming services have been the subject of extended litigation and rate court proceedings. The consent decree framework requires ASCAP and BMI to reach rate agreements with digital services or submit to rate court adjudication. Recent proceedings have resulted in meaningful rate increases, though the industry broadly views current performance royalty rates for streaming as below the market-clearing rate for these rights.</w:t>
      </w:r>
    </w:p>
    <w:p>
      <w:pPr>
        <w:pStyle w:val="Heading2"/>
        <w:spacing w:after="180" w:before="360"/>
      </w:pPr>
      <w:r>
        <w:rPr>
          <w:rFonts w:ascii="Arial" w:cs="Arial" w:eastAsia="Arial" w:hAnsi="Arial"/>
          <w:b/>
          <w:bCs/>
          <w:color w:val="0D2137"/>
          <w:sz w:val="28"/>
          <w:szCs w:val="28"/>
        </w:rPr>
        <w:t xml:space="preserve">Foreign Performance Royalties</w:t>
      </w:r>
    </w:p>
    <w:p>
      <w:pPr>
        <w:spacing w:after="120" w:before="80"/>
        <w:jc w:val="both"/>
      </w:pPr>
      <w:r>
        <w:rPr>
          <w:rFonts w:ascii="Arial" w:cs="Arial" w:eastAsia="Arial" w:hAnsi="Arial"/>
          <w:color w:val="1A1A1A"/>
          <w:sz w:val="22"/>
          <w:szCs w:val="22"/>
        </w:rPr>
        <w:t xml:space="preserve">The United States PROs have reciprocal representation agreements with their counterparts in virtually every country where organized collection societies exist—covering over 150 territories worldwide. Under these agreements, a U.S.-affiliated PRO member's compositions are registered and monitored in foreign territories by the local collecting society, and the resulting royalties are remitted to the U.S. PRO, which then distributes them to the copyright owner.</w:t>
      </w:r>
    </w:p>
    <w:p>
      <w:pPr>
        <w:spacing w:after="120" w:before="80"/>
        <w:jc w:val="both"/>
      </w:pPr>
      <w:r>
        <w:rPr>
          <w:rFonts w:ascii="Arial" w:cs="Arial" w:eastAsia="Arial" w:hAnsi="Arial"/>
          <w:color w:val="1A1A1A"/>
          <w:sz w:val="22"/>
          <w:szCs w:val="22"/>
        </w:rPr>
        <w:t xml:space="preserve">Foreign performance royalties can represent a substantial portion of total performance income for compositions with significant international performance activity. Collection timelines in foreign territories are typically longer than domestic—often 18 to 24 months from the performance date to actual distribution—due to the multi-step collection and remittance process. Some territories also impose withholding taxes on royalty remittances, which must be properly documented for U.S. tax purposes.</w:t>
      </w:r>
    </w:p>
    <w:p>
      <w:pPr>
        <w:spacing w:after="120" w:before="80"/>
        <w:jc w:val="both"/>
      </w:pPr>
      <w:r>
        <w:rPr>
          <w:rFonts w:ascii="Arial" w:cs="Arial" w:eastAsia="Arial" w:hAnsi="Arial"/>
          <w:color w:val="1A1A1A"/>
          <w:sz w:val="22"/>
          <w:szCs w:val="22"/>
        </w:rPr>
        <w:t xml:space="preserve">Sub-publishing agreements, addressed in Chapter 7, represent an alternative to relying exclusively on reciprocal society arrangements for foreign royalties. Sub-publishers provide active promotion, licensing, and collection services in their territories in exchange for a percentage of royalties collected, and can offer superior coverage and collection efficiency relative to the passive reciprocal arrangement for publishers with significant foreign activity.</w:t>
      </w:r>
    </w:p>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3: MECHANICAL LICENSING FOR AUDIO-ONLY PRODUCT</w:t>
      </w:r>
    </w:p>
    <w:p>
      <w:pPr>
        <w:pStyle w:val="Heading2"/>
        <w:spacing w:after="180" w:before="360"/>
      </w:pPr>
      <w:r>
        <w:rPr>
          <w:rFonts w:ascii="Arial" w:cs="Arial" w:eastAsia="Arial" w:hAnsi="Arial"/>
          <w:b/>
          <w:bCs/>
          <w:color w:val="0D2137"/>
          <w:sz w:val="28"/>
          <w:szCs w:val="28"/>
        </w:rPr>
        <w:t xml:space="preserve">A Brief History of Phonorecords</w:t>
      </w:r>
    </w:p>
    <w:p>
      <w:pPr>
        <w:spacing w:after="120" w:before="80"/>
        <w:jc w:val="both"/>
      </w:pPr>
      <w:r>
        <w:rPr>
          <w:rFonts w:ascii="Arial" w:cs="Arial" w:eastAsia="Arial" w:hAnsi="Arial"/>
          <w:color w:val="1A1A1A"/>
          <w:sz w:val="22"/>
          <w:szCs w:val="22"/>
        </w:rPr>
        <w:t xml:space="preserve">The mechanical license takes its name from the mechanical player piano rolls of the late 19th century. When the Copyright Act of 1909 was being drafted, the emergence of piano rolls and the nascent recording industry prompted Congress to grapple for the first time with the rights of musical composition copyright owners in the reproduction of their works on mechanical devices. The 1909 Act resolved this question by creating a compulsory license: once a copyright owner had authorized the first recording of a composition, any other person could record and distribute the composition by paying a statutory royalty rate.</w:t>
      </w:r>
    </w:p>
    <w:p>
      <w:pPr>
        <w:spacing w:after="120" w:before="80"/>
        <w:jc w:val="both"/>
      </w:pPr>
      <w:r>
        <w:rPr>
          <w:rFonts w:ascii="Arial" w:cs="Arial" w:eastAsia="Arial" w:hAnsi="Arial"/>
          <w:color w:val="1A1A1A"/>
          <w:sz w:val="22"/>
          <w:szCs w:val="22"/>
        </w:rPr>
        <w:t xml:space="preserve">This compulsory license structure—born of political compromise between music publishers and the nascent recording industry—has persisted for over a century, evolving through successive legislative amendments to accommodate new delivery formats: the long-playing album, the single, the compact disc, the digital download, and ultimately interactive streaming. At each stage, the fundamental tension between copyright owners seeking fair compensation and distribution platforms seeking operational simplicity has shaped the legal framework.</w:t>
      </w:r>
    </w:p>
    <w:p>
      <w:pPr>
        <w:pStyle w:val="Heading2"/>
        <w:spacing w:after="180" w:before="360"/>
      </w:pPr>
      <w:r>
        <w:rPr>
          <w:rFonts w:ascii="Arial" w:cs="Arial" w:eastAsia="Arial" w:hAnsi="Arial"/>
          <w:b/>
          <w:bCs/>
          <w:color w:val="0D2137"/>
          <w:sz w:val="28"/>
          <w:szCs w:val="28"/>
        </w:rPr>
        <w:t xml:space="preserve">The Compulsory License</w:t>
      </w:r>
    </w:p>
    <w:p>
      <w:pPr>
        <w:spacing w:after="120" w:before="80"/>
        <w:jc w:val="both"/>
      </w:pPr>
      <w:r>
        <w:rPr>
          <w:rFonts w:ascii="Arial" w:cs="Arial" w:eastAsia="Arial" w:hAnsi="Arial"/>
          <w:color w:val="1A1A1A"/>
          <w:sz w:val="22"/>
          <w:szCs w:val="22"/>
        </w:rPr>
        <w:t xml:space="preserve">Section 115 of the Copyright Act establishes the compulsory mechanical license for nondramatic musical works. The structure is straightforward: once the copyright owner has authorized the initial distribution of a phonorecord of a nondramatic musical work to the public in the United States, any other person may obtain a license to make and distribute phonorecords of that work by (1) serving a notice of intention on the copyright owner before or within 30 days after distributing any phonorecords, and (2) paying the applicable statutory royalty rate.</w:t>
      </w:r>
    </w:p>
    <w:p>
      <w:pPr>
        <w:spacing w:after="120" w:before="80"/>
        <w:jc w:val="both"/>
      </w:pPr>
      <w:r>
        <w:rPr>
          <w:rFonts w:ascii="Arial" w:cs="Arial" w:eastAsia="Arial" w:hAnsi="Arial"/>
          <w:color w:val="1A1A1A"/>
          <w:sz w:val="22"/>
          <w:szCs w:val="22"/>
        </w:rPr>
        <w:t xml:space="preserve">The statutory mechanical royalty rate—the so-called statutory rate or controlled composition rate—is set by the Copyright Royalty Board (CRB), a panel of three Copyright Royalty Judges who conduct periodic rate-setting proceedings. The current statutory rate for physical and permanent digital downloads is 9.1 cents per song per copy for songs five minutes or under in length, and 1.75 cents per minute of playing time (or fraction thereof) for songs over five minutes. These rates have remained essentially unchanged since 2006 and are widely criticized as significantly below the market rate.</w:t>
      </w:r>
    </w:p>
    <w:p>
      <w:pPr>
        <w:spacing w:after="120" w:before="80"/>
        <w:jc w:val="both"/>
      </w:pPr>
      <w:r>
        <w:rPr>
          <w:rFonts w:ascii="Arial" w:cs="Arial" w:eastAsia="Arial" w:hAnsi="Arial"/>
          <w:color w:val="1A1A1A"/>
          <w:sz w:val="22"/>
          <w:szCs w:val="22"/>
        </w:rPr>
        <w:t xml:space="preserve">The Music Modernization Act of 2018 significantly overhauled the Section 115 compulsory license framework. The MMA replaced the prior system—under which digital streaming services were required to serve individual notices of intention on copyright owners for each composition they streamed—with a blanket license system administered by the Mechanical Licensing Collective (MLC). Under the new system, digital streaming services obtain a blanket license from the MLC and pay royalties in the aggregate; the MLC is responsible for matching usage data to compositions and distributing royalties to rights holders.</w:t>
      </w:r>
    </w:p>
    <w:p>
      <w:pPr>
        <w:pStyle w:val="Heading2"/>
        <w:spacing w:after="180" w:before="360"/>
      </w:pPr>
      <w:r>
        <w:rPr>
          <w:rFonts w:ascii="Arial" w:cs="Arial" w:eastAsia="Arial" w:hAnsi="Arial"/>
          <w:b/>
          <w:bCs/>
          <w:color w:val="0D2137"/>
          <w:sz w:val="28"/>
          <w:szCs w:val="28"/>
        </w:rPr>
        <w:t xml:space="preserve">Negotiated Licenses</w:t>
      </w:r>
    </w:p>
    <w:p>
      <w:pPr>
        <w:spacing w:after="120" w:before="80"/>
        <w:jc w:val="both"/>
      </w:pPr>
      <w:r>
        <w:rPr>
          <w:rFonts w:ascii="Arial" w:cs="Arial" w:eastAsia="Arial" w:hAnsi="Arial"/>
          <w:color w:val="1A1A1A"/>
          <w:sz w:val="22"/>
          <w:szCs w:val="22"/>
        </w:rPr>
        <w:t xml:space="preserve">The compulsory license establishes a floor for mechanical royalties, not a ceiling. Publishers and record labels frequently negotiate mechanical licenses directly, outside the compulsory license framework. Negotiated licenses may provide rates at, above, or below the statutory rate depending on the bargaining positions of the parties and the specific commercial context.</w:t>
      </w:r>
    </w:p>
    <w:p>
      <w:pPr>
        <w:spacing w:after="120" w:before="80"/>
        <w:jc w:val="both"/>
      </w:pPr>
      <w:r>
        <w:rPr>
          <w:rFonts w:ascii="Arial" w:cs="Arial" w:eastAsia="Arial" w:hAnsi="Arial"/>
          <w:color w:val="1A1A1A"/>
          <w:sz w:val="22"/>
          <w:szCs w:val="22"/>
        </w:rPr>
        <w:t xml:space="preserve">Negotiated licenses are common in situations involving: major label releases where publishers seek rates above the statutory minimum; catalog licensing for compilation albums; theatrical productions; and any context where the copyright owner objects to the specific use and would not grant a voluntary license at the statutory rate. The compulsory license is not available for uses that the copyright owner has not previously authorized in any form—for example, the very first recording of a composition requires a voluntary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1: </w:t>
            </w:r>
            <w:r>
              <w:rPr>
                <w:rFonts w:ascii="Arial" w:cs="Arial" w:eastAsia="Arial" w:hAnsi="Arial"/>
                <w:b/>
                <w:bCs/>
                <w:color w:val="FFFFFF"/>
                <w:sz w:val="22"/>
                <w:szCs w:val="22"/>
              </w:rPr>
              <w:t xml:space="preserve">MECHANICAL LICENSE NEGOTIATION FOR A MAJOR LABEL COVER RECORDING</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major record label wishes to include a cover recording of a well-known independent publisher's composition on a forthcoming album by a marquee artist. The composition has not been previously recorded by this artist.</w:t>
      </w:r>
    </w:p>
    <w:p>
      <w:pPr>
        <w:spacing w:after="120" w:before="80"/>
        <w:jc w:val="both"/>
      </w:pPr>
      <w:r>
        <w:rPr>
          <w:rFonts w:ascii="Arial" w:cs="Arial" w:eastAsia="Arial" w:hAnsi="Arial"/>
          <w:color w:val="1A1A1A"/>
          <w:sz w:val="22"/>
          <w:szCs w:val="22"/>
        </w:rPr>
        <w:t xml:space="preserve">Issue: The label proposes to proceed under the Section 115 compulsory license at the statutory rate of 9.1 cents per copy. The publisher believes the composition warrants a negotiated rate premium given the commercial profile of the recording artist and the anticipated album sales volume.</w:t>
      </w:r>
    </w:p>
    <w:p>
      <w:pPr>
        <w:spacing w:after="120" w:before="80"/>
        <w:jc w:val="both"/>
      </w:pPr>
      <w:r>
        <w:rPr>
          <w:rFonts w:ascii="Arial" w:cs="Arial" w:eastAsia="Arial" w:hAnsi="Arial"/>
          <w:color w:val="1A1A1A"/>
          <w:sz w:val="22"/>
          <w:szCs w:val="22"/>
        </w:rPr>
        <w:t xml:space="preserve">Analysis: The compulsory license limits the publisher's leverage: if the composition has been previously distributed in the United States (which it has), the label can compel a license at the statutory rate. However, the publisher has legitimate negotiating points: (1) the label's request for broad synchronization and sample clearance rights that are not covered by Section 115; (2) the label's desire for reduced-rate provisions tied to promotional copies and free goods, which require voluntary agreement; and (3) the label's request for a controlled composition rate reduction in the event the recording artist co-writes any additional lyrics.</w:t>
      </w:r>
    </w:p>
    <w:p>
      <w:pPr>
        <w:spacing w:after="120" w:before="80"/>
        <w:jc w:val="both"/>
      </w:pPr>
      <w:r>
        <w:rPr>
          <w:rFonts w:ascii="Arial" w:cs="Arial" w:eastAsia="Arial" w:hAnsi="Arial"/>
          <w:color w:val="1A1A1A"/>
          <w:sz w:val="22"/>
          <w:szCs w:val="22"/>
        </w:rPr>
        <w:t xml:space="preserve">Resolution: Publisher grants a voluntary license at 100% of the statutory rate (waiving any premium claim given the compulsory license backstop) but negotiates the following: (1) no controlled composition rate reduction applicable to this composition; (2) advance payment of $15,000 against a minimum of 165,000 copies at the statutory rate; (3) quarterly accounting; (4) most favored nations treatment with respect to any other independent publisher composition licensed for the same album.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The controlled composition clause is one of the most significant—and most unfavorable—provisions that labels impose on signed artists who are also songwriters. Publishers dealing with major label projects should always analyze whether controlled composition provisions apply to their compositions and, if so, negotiate to exclude independently-owned compositions from any rate reduction. See the detailed discussion of controlled composition clauses later in this chapter.</w:t>
            </w:r>
          </w:p>
        </w:tc>
      </w:tr>
    </w:tbl>
    <w:p>
      <w:pPr>
        <w:pStyle w:val="Heading2"/>
        <w:spacing w:after="180" w:before="360"/>
      </w:pPr>
      <w:r>
        <w:rPr>
          <w:rFonts w:ascii="Arial" w:cs="Arial" w:eastAsia="Arial" w:hAnsi="Arial"/>
          <w:b/>
          <w:bCs/>
          <w:color w:val="0D2137"/>
          <w:sz w:val="28"/>
          <w:szCs w:val="28"/>
        </w:rPr>
        <w:t xml:space="preserve">Digital Phonorecord Delivery (DPDs)</w:t>
      </w:r>
    </w:p>
    <w:p>
      <w:pPr>
        <w:spacing w:after="120" w:before="80"/>
        <w:jc w:val="both"/>
      </w:pPr>
      <w:r>
        <w:rPr>
          <w:rFonts w:ascii="Arial" w:cs="Arial" w:eastAsia="Arial" w:hAnsi="Arial"/>
          <w:color w:val="1A1A1A"/>
          <w:sz w:val="22"/>
          <w:szCs w:val="22"/>
        </w:rPr>
        <w:t xml:space="preserve">The term Digital Phonorecord Delivery (DPD), introduced by the Digital Performance Right in Sound Recordings Act of 1995 and incorporated into Section 115, refers to a digital transmission of a sound recording that results in a specifically identifiable reproduction by or for the transmission recipient—in other words, a digital download. Both permanent downloads (such as those sold on iTunes) and limited downloads (tethered files distributed by subscription services that are accessible only as long as the subscription continues) are DPDs.</w:t>
      </w:r>
    </w:p>
    <w:p>
      <w:pPr>
        <w:spacing w:after="120" w:before="80"/>
        <w:jc w:val="both"/>
      </w:pPr>
      <w:r>
        <w:rPr>
          <w:rFonts w:ascii="Arial" w:cs="Arial" w:eastAsia="Arial" w:hAnsi="Arial"/>
          <w:color w:val="1A1A1A"/>
          <w:sz w:val="22"/>
          <w:szCs w:val="22"/>
        </w:rPr>
        <w:t xml:space="preserve">DPDs are subject to the Section 115 compulsory license at the statutory mechanical royalty rate. For permanent downloads, the current rate is 9.1 cents per song (or 1.75 cents per minute for songs over five minutes). Limited downloads under the MMA blanket license framework are paid at rates set through the CRB's Phonorecords IV proceeding, which established a complex tiered royalty structure based on the type of service (paid subscription, free ad-supported, etc.) and the greater of a revenue-based or subscriber-based formula.</w:t>
      </w:r>
    </w:p>
    <w:p>
      <w:pPr>
        <w:pStyle w:val="Heading2"/>
        <w:spacing w:after="180" w:before="360"/>
      </w:pPr>
      <w:r>
        <w:rPr>
          <w:rFonts w:ascii="Arial" w:cs="Arial" w:eastAsia="Arial" w:hAnsi="Arial"/>
          <w:b/>
          <w:bCs/>
          <w:color w:val="0D2137"/>
          <w:sz w:val="28"/>
          <w:szCs w:val="28"/>
        </w:rPr>
        <w:t xml:space="preserve">The Controlled Composition Clause</w:t>
      </w:r>
    </w:p>
    <w:p>
      <w:pPr>
        <w:spacing w:after="120" w:before="80"/>
        <w:jc w:val="both"/>
      </w:pPr>
      <w:r>
        <w:rPr>
          <w:rFonts w:ascii="Arial" w:cs="Arial" w:eastAsia="Arial" w:hAnsi="Arial"/>
          <w:color w:val="1A1A1A"/>
          <w:sz w:val="22"/>
          <w:szCs w:val="22"/>
        </w:rPr>
        <w:t xml:space="preserve">The controlled composition clause is a contractual provision—typically found in recording agreements between record labels and their signed artists—that reduces the mechanical royalty rate payable to the songwriter/artist for compositions they have written (or co-written) and recorded for the label. It is one of the most financially consequential and frequently misunderstood provisions in recording agreements.</w:t>
      </w:r>
    </w:p>
    <w:p>
      <w:pPr>
        <w:spacing w:after="120" w:before="80"/>
        <w:jc w:val="both"/>
      </w:pPr>
      <w:r>
        <w:rPr>
          <w:rFonts w:ascii="Arial" w:cs="Arial" w:eastAsia="Arial" w:hAnsi="Arial"/>
          <w:color w:val="1A1A1A"/>
          <w:sz w:val="22"/>
          <w:szCs w:val="22"/>
        </w:rPr>
        <w:t xml:space="preserve">The typical controlled composition clause provides that for any composition written or co-written by the recording artist and recorded for the label, the mechanical royalty rate is reduced to three-quarters of the then-current statutory rate (i.e., 75% of 9.1 cents, or approximately 6.825 cents). Additionally, the clause typically caps the total mechanical royalty obligation per album at a maximum of ten times the controlled rate, regardless of the actual number of compositions on the album.</w:t>
      </w:r>
    </w:p>
    <w:p>
      <w:pPr>
        <w:spacing w:after="120" w:before="80"/>
        <w:jc w:val="both"/>
      </w:pPr>
      <w:r>
        <w:rPr>
          <w:rFonts w:ascii="Arial" w:cs="Arial" w:eastAsia="Arial" w:hAnsi="Arial"/>
          <w:color w:val="1A1A1A"/>
          <w:sz w:val="22"/>
          <w:szCs w:val="22"/>
        </w:rPr>
        <w:t xml:space="preserve">The financial impact of a controlled composition clause can be severe. An artist who writes all twelve songs on an album, subject to a 75% controlled rate and a ten-song cap, receives mechanical royalties on only ten of twelve songs, at only 75% of the statutory rate for each. The effective royalty reduction can represent 37.5% or more of the mechanical income the artist would otherwise be entitled to receive.</w:t>
      </w:r>
    </w:p>
    <w:p>
      <w:pPr>
        <w:spacing w:after="120" w:before="80"/>
        <w:jc w:val="both"/>
      </w:pPr>
      <w:r>
        <w:rPr>
          <w:rFonts w:ascii="Arial" w:cs="Arial" w:eastAsia="Arial" w:hAnsi="Arial"/>
          <w:color w:val="1A1A1A"/>
          <w:sz w:val="22"/>
          <w:szCs w:val="22"/>
        </w:rPr>
        <w:t xml:space="preserve">From a publishing administrator's perspective, the controlled composition clause creates a conflict between the artist's interests as a recording artist (subject to the clause) and their interests as a songwriter (entitled to statutory rates from non-label users). Publishers frequently negotiate to exclude independently-administered compositions from controlled composition provisions, particularly when the publisher has leverage based on the catalog's commercial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CONTROLLED COMPOSITION AUDIT</w:t>
            </w:r>
          </w:p>
          <w:p>
            <w:pPr>
              <w:spacing w:before="60"/>
              <w:jc w:val="both"/>
            </w:pPr>
            <w:r>
              <w:rPr>
                <w:rFonts w:ascii="Arial" w:cs="Arial" w:eastAsia="Arial" w:hAnsi="Arial"/>
                <w:i/>
                <w:iCs/>
                <w:color w:val="1A1A1A"/>
                <w:sz w:val="21"/>
                <w:szCs w:val="21"/>
              </w:rPr>
              <w:t xml:space="preserve">Any catalog acquisition due diligence must include review of all recording agreements applicable to catalog compositions for controlled composition provisions. The presence of such provisions caps mechanical income on label releases at below-statutory rates and must be factored into catalog valuation models. Additionally, when MusiGod onboards artist clients who are also signed recording artists, the administration agreement should clearly identify any controlled composition limitations applicable to label-distributed recordings.</w:t>
            </w:r>
          </w:p>
        </w:tc>
      </w:tr>
    </w:tbl>
    <w:p>
      <w:pPr>
        <w:pStyle w:val="Heading2"/>
        <w:spacing w:after="180" w:before="360"/>
      </w:pPr>
      <w:r>
        <w:rPr>
          <w:rFonts w:ascii="Arial" w:cs="Arial" w:eastAsia="Arial" w:hAnsi="Arial"/>
          <w:b/>
          <w:bCs/>
          <w:color w:val="0D2137"/>
          <w:sz w:val="28"/>
          <w:szCs w:val="28"/>
        </w:rPr>
        <w:t xml:space="preserve">How HFA Works</w:t>
      </w:r>
    </w:p>
    <w:p>
      <w:pPr>
        <w:spacing w:after="120" w:before="80"/>
        <w:jc w:val="both"/>
      </w:pPr>
      <w:r>
        <w:rPr>
          <w:rFonts w:ascii="Arial" w:cs="Arial" w:eastAsia="Arial" w:hAnsi="Arial"/>
          <w:color w:val="1A1A1A"/>
          <w:sz w:val="22"/>
          <w:szCs w:val="22"/>
        </w:rPr>
        <w:t xml:space="preserve">The Harry Fox Agency (HFA), founded in 1927 by the National Music Publishers' Association (NMPA), was for decades the dominant mechanical licensing intermediary in the United States. HFA issued mechanical licenses on behalf of its affiliated publishers to record labels and other users, collected royalties, and remitted net amounts (after deducting a service fee) to publishers. HFA also conducted royalty audits of licensees on behalf of publishers.</w:t>
      </w:r>
    </w:p>
    <w:p>
      <w:pPr>
        <w:spacing w:after="120" w:before="80"/>
        <w:jc w:val="both"/>
      </w:pPr>
      <w:r>
        <w:rPr>
          <w:rFonts w:ascii="Arial" w:cs="Arial" w:eastAsia="Arial" w:hAnsi="Arial"/>
          <w:color w:val="1A1A1A"/>
          <w:sz w:val="22"/>
          <w:szCs w:val="22"/>
        </w:rPr>
        <w:t xml:space="preserve">In 2015, HFA was acquired by SESAC. In 2021, Spotify acquired HFA's licensing and administration business and rebranded it as DistroKid's publishing administration service. The HFA brand and its Songfile online licensing platform continue to operate as a mechanical licensing service for independent publishers seeking to issue licenses for specific uses.</w:t>
      </w:r>
    </w:p>
    <w:p>
      <w:pPr>
        <w:spacing w:after="120" w:before="80"/>
        <w:jc w:val="both"/>
      </w:pPr>
      <w:r>
        <w:rPr>
          <w:rFonts w:ascii="Arial" w:cs="Arial" w:eastAsia="Arial" w:hAnsi="Arial"/>
          <w:color w:val="1A1A1A"/>
          <w:sz w:val="22"/>
          <w:szCs w:val="22"/>
        </w:rPr>
        <w:t xml:space="preserve">Today, for digital streaming uses, the MLC has largely supplanted HFA's role as the primary mechanical royalty collection mechanism. Physical and download mechanical licensing continues to be handled through direct negotiation between publishers and labels, through HFA's Songfile platform for individual-use licenses, or through publishing administrators who provide this service as part of their offering.</w:t>
      </w:r>
    </w:p>
    <w:p>
      <w:pPr>
        <w:pStyle w:val="Heading2"/>
        <w:spacing w:after="180" w:before="360"/>
      </w:pPr>
      <w:r>
        <w:rPr>
          <w:rFonts w:ascii="Arial" w:cs="Arial" w:eastAsia="Arial" w:hAnsi="Arial"/>
          <w:b/>
          <w:bCs/>
          <w:color w:val="0D2137"/>
          <w:sz w:val="28"/>
          <w:szCs w:val="28"/>
        </w:rPr>
        <w:t xml:space="preserve">Other Services and Licenses</w:t>
      </w:r>
    </w:p>
    <w:p>
      <w:pPr>
        <w:spacing w:after="120" w:before="80"/>
        <w:jc w:val="both"/>
      </w:pPr>
      <w:r>
        <w:rPr>
          <w:rFonts w:ascii="Arial" w:cs="Arial" w:eastAsia="Arial" w:hAnsi="Arial"/>
          <w:color w:val="1A1A1A"/>
          <w:sz w:val="22"/>
          <w:szCs w:val="22"/>
        </w:rPr>
        <w:t xml:space="preserve">Beyond the standard audio recording mechanical license, several additional categories of mechanical-adjacent licenses are relevant to publishing administration:</w:t>
      </w:r>
    </w:p>
    <w:p>
      <w:pPr>
        <w:pStyle w:val="Heading3"/>
        <w:spacing w:after="120" w:before="240"/>
      </w:pPr>
      <w:r>
        <w:rPr>
          <w:rFonts w:ascii="Arial" w:cs="Arial" w:eastAsia="Arial" w:hAnsi="Arial"/>
          <w:b/>
          <w:bCs/>
          <w:color w:val="4A4A4A"/>
          <w:sz w:val="24"/>
          <w:szCs w:val="24"/>
        </w:rPr>
        <w:t xml:space="preserve">Ringtones and Mastertones</w:t>
      </w:r>
    </w:p>
    <w:p>
      <w:pPr>
        <w:spacing w:after="120" w:before="80"/>
        <w:jc w:val="both"/>
      </w:pPr>
      <w:r>
        <w:rPr>
          <w:rFonts w:ascii="Arial" w:cs="Arial" w:eastAsia="Arial" w:hAnsi="Arial"/>
          <w:color w:val="1A1A1A"/>
          <w:sz w:val="22"/>
          <w:szCs w:val="22"/>
        </w:rPr>
        <w:t xml:space="preserve">The use of a musical composition as a ringtone or mastertone on a mobile device is treated as a mechanical reproduction requiring a license. The statutory rate for ringtones is 24 cents per download. This market has declined substantially with the proliferation of smartphones and streaming-based ringtone alternatives.</w:t>
      </w:r>
    </w:p>
    <w:p>
      <w:pPr>
        <w:pStyle w:val="Heading3"/>
        <w:spacing w:after="120" w:before="240"/>
      </w:pPr>
      <w:r>
        <w:rPr>
          <w:rFonts w:ascii="Arial" w:cs="Arial" w:eastAsia="Arial" w:hAnsi="Arial"/>
          <w:b/>
          <w:bCs/>
          <w:color w:val="4A4A4A"/>
          <w:sz w:val="24"/>
          <w:szCs w:val="24"/>
        </w:rPr>
        <w:t xml:space="preserve">Interactive Streaming — Mechanical Component</w:t>
      </w:r>
    </w:p>
    <w:p>
      <w:pPr>
        <w:spacing w:after="120" w:before="80"/>
        <w:jc w:val="both"/>
      </w:pPr>
      <w:r>
        <w:rPr>
          <w:rFonts w:ascii="Arial" w:cs="Arial" w:eastAsia="Arial" w:hAnsi="Arial"/>
          <w:color w:val="1A1A1A"/>
          <w:sz w:val="22"/>
          <w:szCs w:val="22"/>
        </w:rPr>
        <w:t xml:space="preserve">Under the MMA and the Phonorecords IV rate determination, interactive streaming services (Spotify, Apple Music, etc.) owe mechanical royalties on streamed compositions in addition to performance royalties. The mechanical royalty component of streaming is paid to the MLC under the blanket license, which distributes to publishers and directly-registered songwriters. The interplay between the performance royalty stream (via PROs) and the mechanical royalty stream (via the MLC) is a defining complexity of modern digital music economics.</w:t>
      </w:r>
    </w:p>
    <w:p>
      <w:pPr>
        <w:pStyle w:val="Heading3"/>
        <w:spacing w:after="120" w:before="240"/>
      </w:pPr>
      <w:r>
        <w:rPr>
          <w:rFonts w:ascii="Arial" w:cs="Arial" w:eastAsia="Arial" w:hAnsi="Arial"/>
          <w:b/>
          <w:bCs/>
          <w:color w:val="4A4A4A"/>
          <w:sz w:val="24"/>
          <w:szCs w:val="24"/>
        </w:rPr>
        <w:t xml:space="preserve">Karaoke</w:t>
      </w:r>
    </w:p>
    <w:p>
      <w:pPr>
        <w:spacing w:after="120" w:before="80"/>
        <w:jc w:val="both"/>
      </w:pPr>
      <w:r>
        <w:rPr>
          <w:rFonts w:ascii="Arial" w:cs="Arial" w:eastAsia="Arial" w:hAnsi="Arial"/>
          <w:color w:val="1A1A1A"/>
          <w:sz w:val="22"/>
          <w:szCs w:val="22"/>
        </w:rPr>
        <w:t xml:space="preserve">Karaoke recordings—background music tracks with synchronized lyric displays—require mechanical licenses for the audio reproduction of the underlying composition plus synchronization licenses for the lyric display. The karaoke licensing market is administered primarily through Harry Fox Songfile and direct negotiation.</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USE TYPE</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CURRENT RATE</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LICENSING BODY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 Permanent Download (&lt;=5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9.1c per copy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 HFA / MLC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 Download (&gt;5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1.75c/min or fraction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 HFA / MLC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Streaming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CRB Phonorecords IV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MLC (blanket)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Ringtone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24c per download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 HFA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Download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CRB Phonorecords IV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MLC (blanket)</w:t>
            </w:r>
          </w:p>
        </w:tc>
      </w:tr>
    </w:tbl>
    <w:p>
      <w:pPr>
        <w:spacing w:after="0" w:before="240"/>
      </w:pPr>
      <w:r>
        <w:t xml:space="preserve"/>
      </w:r>
    </w:p>
    <w:p>
      <w:pPr>
        <w:pStyle w:val="Heading2"/>
        <w:spacing w:after="180" w:before="360"/>
      </w:pPr>
      <w:r>
        <w:rPr>
          <w:rFonts w:ascii="Arial" w:cs="Arial" w:eastAsia="Arial" w:hAnsi="Arial"/>
          <w:b/>
          <w:bCs/>
          <w:color w:val="0D2137"/>
          <w:sz w:val="28"/>
          <w:szCs w:val="28"/>
        </w:rPr>
        <w:t xml:space="preserve">The Harry Fox Agency License — Full Draft with Commentary</w:t>
      </w:r>
    </w:p>
    <w:p>
      <w:pPr>
        <w:spacing w:after="80" w:before="240"/>
      </w:pPr>
      <w:r>
        <w:rPr>
          <w:rFonts w:ascii="Arial" w:cs="Arial" w:eastAsia="Arial" w:hAnsi="Arial"/>
          <w:b/>
          <w:bCs/>
          <w:color w:val="0D2137"/>
          <w:sz w:val="22"/>
          <w:szCs w:val="22"/>
          <w:u w:val="single"/>
        </w:rPr>
        <w:t xml:space="preserve">MECHANICAL LICENSE</w:t>
      </w:r>
    </w:p>
    <w:p>
      <w:pPr>
        <w:spacing w:after="80" w:before="80"/>
        <w:ind w:left="720"/>
      </w:pPr>
      <w:r>
        <w:rPr>
          <w:rFonts w:ascii="Courier New" w:cs="Courier New" w:eastAsia="Courier New" w:hAnsi="Courier New"/>
          <w:color w:val="1A1A1A"/>
          <w:sz w:val="20"/>
          <w:szCs w:val="20"/>
        </w:rPr>
        <w:t xml:space="preserve">License Number: _______________</w:t>
      </w:r>
    </w:p>
    <w:p>
      <w:pPr>
        <w:spacing w:after="80" w:before="80"/>
        <w:ind w:left="720"/>
      </w:pPr>
      <w:r>
        <w:rPr>
          <w:rFonts w:ascii="Courier New" w:cs="Courier New" w:eastAsia="Courier New" w:hAnsi="Courier New"/>
          <w:color w:val="1A1A1A"/>
          <w:sz w:val="20"/>
          <w:szCs w:val="20"/>
        </w:rPr>
        <w:t xml:space="preserve">Date: _______________</w:t>
      </w:r>
    </w:p>
    <w:p>
      <w:pPr>
        <w:spacing w:after="80" w:before="80"/>
        <w:ind w:left="720"/>
      </w:pPr>
      <w:r>
        <w:rPr>
          <w:rFonts w:ascii="Courier New" w:cs="Courier New" w:eastAsia="Courier New" w:hAnsi="Courier New"/>
          <w:color w:val="1A1A1A"/>
          <w:sz w:val="20"/>
          <w:szCs w:val="20"/>
        </w:rPr>
        <w:t xml:space="preserve">Licensee: _______________  ("Licensee")</w:t>
      </w:r>
    </w:p>
    <w:p>
      <w:pPr>
        <w:spacing w:after="80" w:before="80"/>
        <w:ind w:left="720"/>
      </w:pPr>
      <w:r>
        <w:rPr>
          <w:rFonts w:ascii="Courier New" w:cs="Courier New" w:eastAsia="Courier New" w:hAnsi="Courier New"/>
          <w:color w:val="1A1A1A"/>
          <w:sz w:val="20"/>
          <w:szCs w:val="20"/>
        </w:rPr>
        <w:t xml:space="preserve">Publisher/Administrator: MusiGod Publishing Administration  ("Publisher")</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OF LICENSE. </w:t>
      </w:r>
      <w:r>
        <w:rPr>
          <w:rFonts w:ascii="Courier New" w:cs="Courier New" w:eastAsia="Courier New" w:hAnsi="Courier New"/>
          <w:color w:val="1A1A1A"/>
          <w:sz w:val="20"/>
          <w:szCs w:val="20"/>
        </w:rPr>
        <w:t xml:space="preserve">Publisher hereby grants to Licensee a non-exclusive license to record, manufacture, and distribute phonorecords (as defined in 17 U.S.C. § 101) of the musical composition(s) identified in Schedule A hereto (the "Composition(s)"), in accordance with the terms and conditions set forth herein.</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CONFIGURATION AND FORMAT. </w:t>
      </w:r>
      <w:r>
        <w:rPr>
          <w:rFonts w:ascii="Courier New" w:cs="Courier New" w:eastAsia="Courier New" w:hAnsi="Courier New"/>
          <w:color w:val="1A1A1A"/>
          <w:sz w:val="20"/>
          <w:szCs w:val="20"/>
        </w:rPr>
        <w:t xml:space="preserve">This license is limited to the configuration(s) and format(s) specified in Schedule A. Any use in a different configuration or format requires a separate license from Publisher.</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TERRITORY. </w:t>
      </w:r>
      <w:r>
        <w:rPr>
          <w:rFonts w:ascii="Courier New" w:cs="Courier New" w:eastAsia="Courier New" w:hAnsi="Courier New"/>
          <w:color w:val="1A1A1A"/>
          <w:sz w:val="20"/>
          <w:szCs w:val="20"/>
        </w:rPr>
        <w:t xml:space="preserve">This license is limited to the territory of the United States of America and its territories and possessions. Separate licenses are required for all other territories.</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ROYALTY RATE. </w:t>
      </w:r>
      <w:r>
        <w:rPr>
          <w:rFonts w:ascii="Courier New" w:cs="Courier New" w:eastAsia="Courier New" w:hAnsi="Courier New"/>
          <w:color w:val="1A1A1A"/>
          <w:sz w:val="20"/>
          <w:szCs w:val="20"/>
        </w:rPr>
        <w:t xml:space="preserve">Licensee shall pay Publisher a royalty of 9.1 cents per phonorecord manufactured and distributed for each Composition of five (5) minutes or less in duration, and 1.75 cents per minute or fraction thereof for each Composition exceeding five (5) minutes, or such other rate as may be mutually agreed upon in writing. If this license is issued at a rate below the statutory rate, that rate is specified in Schedule A.</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ACCOUNTING AND PAYMENT. </w:t>
      </w:r>
      <w:r>
        <w:rPr>
          <w:rFonts w:ascii="Courier New" w:cs="Courier New" w:eastAsia="Courier New" w:hAnsi="Courier New"/>
          <w:color w:val="1A1A1A"/>
          <w:sz w:val="20"/>
          <w:szCs w:val="20"/>
        </w:rPr>
        <w:t xml:space="preserve">Licensee shall render statements of account and pay royalties due hereunder on a quarterly basis, within 45 days after the end of each calendar quarter. Each statement shall set forth, by Composition, the number of phonorecords manufactured and distributed, returns, and the royalties due.</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AUDIT RIGHTS. </w:t>
      </w:r>
      <w:r>
        <w:rPr>
          <w:rFonts w:ascii="Courier New" w:cs="Courier New" w:eastAsia="Courier New" w:hAnsi="Courier New"/>
          <w:color w:val="1A1A1A"/>
          <w:sz w:val="20"/>
          <w:szCs w:val="20"/>
        </w:rPr>
        <w:t xml:space="preserve">Publisher shall have the right, upon reasonable written notice and not more than once per calendar year, to audit Licensee's books and records relevant to the royalty obligations set forth herein. Any audit shall be conducted at Publisher's expense, except that if the audit reveals an underpayment of 5% or more of the royalties due for the period audited, Licensee shall bear the reasonable costs of the audit.</w:t>
      </w:r>
    </w:p>
    <w:p>
      <w:pPr>
        <w:spacing w:after="80" w:before="120"/>
        <w:ind w:left="360"/>
        <w:jc w:val="both"/>
      </w:pPr>
      <w:r>
        <w:rPr>
          <w:rFonts w:ascii="Courier New" w:cs="Courier New" w:eastAsia="Courier New" w:hAnsi="Courier New"/>
          <w:b/>
          <w:bCs/>
          <w:sz w:val="20"/>
          <w:szCs w:val="20"/>
        </w:rPr>
        <w:t xml:space="preserve">7. </w:t>
      </w:r>
      <w:r>
        <w:rPr>
          <w:rFonts w:ascii="Courier New" w:cs="Courier New" w:eastAsia="Courier New" w:hAnsi="Courier New"/>
          <w:b/>
          <w:bCs/>
          <w:sz w:val="20"/>
          <w:szCs w:val="20"/>
        </w:rPr>
        <w:t xml:space="preserve">REPRESENTATIONS AND WARRANTIES. </w:t>
      </w:r>
      <w:r>
        <w:rPr>
          <w:rFonts w:ascii="Courier New" w:cs="Courier New" w:eastAsia="Courier New" w:hAnsi="Courier New"/>
          <w:color w:val="1A1A1A"/>
          <w:sz w:val="20"/>
          <w:szCs w:val="20"/>
        </w:rPr>
        <w:t xml:space="preserve">Each party represents and warrants that it has the full right, power, and authority to enter into this Agreement and that this Agreement does not conflict with any other agreement to which it is a party.</w:t>
      </w:r>
    </w:p>
    <w:p>
      <w:pPr>
        <w:spacing w:after="80" w:before="120"/>
        <w:ind w:left="360"/>
        <w:jc w:val="both"/>
      </w:pPr>
      <w:r>
        <w:rPr>
          <w:rFonts w:ascii="Courier New" w:cs="Courier New" w:eastAsia="Courier New" w:hAnsi="Courier New"/>
          <w:b/>
          <w:bCs/>
          <w:sz w:val="20"/>
          <w:szCs w:val="20"/>
        </w:rPr>
        <w:t xml:space="preserve">8. </w:t>
      </w:r>
      <w:r>
        <w:rPr>
          <w:rFonts w:ascii="Courier New" w:cs="Courier New" w:eastAsia="Courier New" w:hAnsi="Courier New"/>
          <w:b/>
          <w:bCs/>
          <w:sz w:val="20"/>
          <w:szCs w:val="20"/>
        </w:rPr>
        <w:t xml:space="preserve">TERM AND TERMINATION. </w:t>
      </w:r>
      <w:r>
        <w:rPr>
          <w:rFonts w:ascii="Courier New" w:cs="Courier New" w:eastAsia="Courier New" w:hAnsi="Courier New"/>
          <w:color w:val="1A1A1A"/>
          <w:sz w:val="20"/>
          <w:szCs w:val="20"/>
        </w:rPr>
        <w:t xml:space="preserve">This license shall remain in effect until terminated. Publisher may terminate this license immediately upon written notice in the event of a material breach by Licensee that remains uncured for thirty (30) days following written notice of such breach.</w:t>
      </w:r>
    </w:p>
    <w:p>
      <w:pPr>
        <w:spacing w:after="80" w:before="120"/>
        <w:ind w:left="360"/>
        <w:jc w:val="both"/>
      </w:pPr>
      <w:r>
        <w:rPr>
          <w:rFonts w:ascii="Courier New" w:cs="Courier New" w:eastAsia="Courier New" w:hAnsi="Courier New"/>
          <w:b/>
          <w:bCs/>
          <w:sz w:val="20"/>
          <w:szCs w:val="20"/>
        </w:rPr>
        <w:t xml:space="preserve">9. </w:t>
      </w:r>
      <w:r>
        <w:rPr>
          <w:rFonts w:ascii="Courier New" w:cs="Courier New" w:eastAsia="Courier New" w:hAnsi="Courier New"/>
          <w:b/>
          <w:bCs/>
          <w:sz w:val="20"/>
          <w:szCs w:val="20"/>
        </w:rPr>
        <w:t xml:space="preserve">GOVERNING LAW. </w:t>
      </w:r>
      <w:r>
        <w:rPr>
          <w:rFonts w:ascii="Courier New" w:cs="Courier New" w:eastAsia="Courier New" w:hAnsi="Courier New"/>
          <w:color w:val="1A1A1A"/>
          <w:sz w:val="20"/>
          <w:szCs w:val="20"/>
        </w:rPr>
        <w:t xml:space="preserve">This Agreement shall be governed by and construed in accordance with the laws of the State of New York, without regard to its conflict of law principles.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CLAUSE 4 NOTE: The 9.1 cent statutory rate has been in place since 2006. Publishers with significant leverage should attempt to negotiate rates above statutory, particularly on high-profile commercial recordings. The statutory rate is a floor—not a market rate. CLAUSE 6 NOTE: Audit rights are among the most valuable provisions in any royalty-bearing agreement. The standard three-year lookback period is negotiable; publishers should push for the maximum lookback period permitted. A 5% underpayment trigger for cost-shifting is standard but can be negotiated down to 2% for high-volume relationships. CLAUSE 5 NOTE: Quarterly accounting is standard; however, publishers with leverage can negotiate monthly accounting from major label licensees, significantly improving cash flow.</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4: SYNCHRONIZATION LICENSING FOR AUDIO-VISUAL PRODUCTIONS</w:t>
      </w:r>
    </w:p>
    <w:p>
      <w:pPr>
        <w:pStyle w:val="Heading2"/>
        <w:spacing w:after="180" w:before="360"/>
      </w:pPr>
      <w:r>
        <w:rPr>
          <w:rFonts w:ascii="Arial" w:cs="Arial" w:eastAsia="Arial" w:hAnsi="Arial"/>
          <w:b/>
          <w:bCs/>
          <w:color w:val="0D2137"/>
          <w:sz w:val="28"/>
          <w:szCs w:val="28"/>
        </w:rPr>
        <w:t xml:space="preserve">Copyright Law Basics for Sync Licensing</w:t>
      </w:r>
    </w:p>
    <w:p>
      <w:pPr>
        <w:spacing w:after="120" w:before="80"/>
        <w:jc w:val="both"/>
      </w:pPr>
      <w:r>
        <w:rPr>
          <w:rFonts w:ascii="Arial" w:cs="Arial" w:eastAsia="Arial" w:hAnsi="Arial"/>
          <w:color w:val="1A1A1A"/>
          <w:sz w:val="22"/>
          <w:szCs w:val="22"/>
        </w:rPr>
        <w:t xml:space="preserve">The synchronization right—commonly referred to as the sync right—is the right to reproduce a musical composition in timed relation to a visual image. It derives from the copyright owner's exclusive right to create derivative works and to reproduce the copyrighted work in copies. While not explicitly named in Section 106 of the Copyright Act, the sync right has been recognized by courts and the industry as a distinct bundle of rights requiring a specific license.</w:t>
      </w:r>
    </w:p>
    <w:p>
      <w:pPr>
        <w:spacing w:after="120" w:before="80"/>
        <w:jc w:val="both"/>
      </w:pPr>
      <w:r>
        <w:rPr>
          <w:rFonts w:ascii="Arial" w:cs="Arial" w:eastAsia="Arial" w:hAnsi="Arial"/>
          <w:color w:val="1A1A1A"/>
          <w:sz w:val="22"/>
          <w:szCs w:val="22"/>
        </w:rPr>
        <w:t xml:space="preserve">A sync license authorizes the licensee to synchronize the musical composition with specific visual content for specific uses, in specific territories, for specific terms. It is entirely negotiable—there is no compulsory license equivalent in the sync context. This means copyright owners have the absolute right to refuse any sync license request and, where they grant a license, to negotiate any terms they choose. This leverage is fundamental to the commercial value of sync licensing.</w:t>
      </w:r>
    </w:p>
    <w:p>
      <w:pPr>
        <w:spacing w:after="120" w:before="80"/>
        <w:jc w:val="both"/>
      </w:pPr>
      <w:r>
        <w:rPr>
          <w:rFonts w:ascii="Arial" w:cs="Arial" w:eastAsia="Arial" w:hAnsi="Arial"/>
          <w:color w:val="1A1A1A"/>
          <w:sz w:val="22"/>
          <w:szCs w:val="22"/>
        </w:rPr>
        <w:t xml:space="preserve">The sync license covers only the musical composition copyright. A separate master use license from the owner of the sound recording copyright (typically the record label) is required to use a specific recorded performance of the composition. This dual license requirement—sync license from the publisher and master use license from the label—is one of the most important structural features of sync licensing and a frequent source of deal complexity.</w:t>
      </w:r>
    </w:p>
    <w:p>
      <w:pPr>
        <w:pStyle w:val="Heading2"/>
        <w:spacing w:after="180" w:before="360"/>
      </w:pPr>
      <w:r>
        <w:rPr>
          <w:rFonts w:ascii="Arial" w:cs="Arial" w:eastAsia="Arial" w:hAnsi="Arial"/>
          <w:b/>
          <w:bCs/>
          <w:color w:val="0D2137"/>
          <w:sz w:val="28"/>
          <w:szCs w:val="28"/>
        </w:rPr>
        <w:t xml:space="preserve">Identifying the Owners</w:t>
      </w:r>
    </w:p>
    <w:p>
      <w:pPr>
        <w:spacing w:after="120" w:before="80"/>
        <w:jc w:val="both"/>
      </w:pPr>
      <w:r>
        <w:rPr>
          <w:rFonts w:ascii="Arial" w:cs="Arial" w:eastAsia="Arial" w:hAnsi="Arial"/>
          <w:color w:val="1A1A1A"/>
          <w:sz w:val="22"/>
          <w:szCs w:val="22"/>
        </w:rPr>
        <w:t xml:space="preserve">Before any sync license can be issued, the publisher must identify all copyright owners of both the musical composition and, where applicable, the sound recording. Identifying composition ownership requires consultation of PRO databases, the Copyright Office public catalog, the publisher's own catalog records, and in complex cases, chain-of-title documentation. Compositions with multiple songwriters—co-written works—have split ownership, and each co-owner's share must be independently identified and licensed.</w:t>
      </w:r>
    </w:p>
    <w:p>
      <w:pPr>
        <w:spacing w:after="120" w:before="80"/>
        <w:jc w:val="both"/>
      </w:pPr>
      <w:r>
        <w:rPr>
          <w:rFonts w:ascii="Arial" w:cs="Arial" w:eastAsia="Arial" w:hAnsi="Arial"/>
          <w:color w:val="1A1A1A"/>
          <w:sz w:val="22"/>
          <w:szCs w:val="22"/>
        </w:rPr>
        <w:t xml:space="preserve">The most reliable starting points for ownership identification are the PRO online databases (ASCAP's ACE, BMI's Repertoire, SESAC's catalog search) and the MLC's public database. For older compositions with complex ownership histories, chain-of-title research may require consultation of Copyright Office assignment records, court records, and historical publishing industry archives.</w:t>
      </w:r>
    </w:p>
    <w:p>
      <w:pPr>
        <w:pStyle w:val="Heading2"/>
        <w:spacing w:after="180" w:before="360"/>
      </w:pPr>
      <w:r>
        <w:rPr>
          <w:rFonts w:ascii="Arial" w:cs="Arial" w:eastAsia="Arial" w:hAnsi="Arial"/>
          <w:b/>
          <w:bCs/>
          <w:color w:val="0D2137"/>
          <w:sz w:val="28"/>
          <w:szCs w:val="28"/>
        </w:rPr>
        <w:t xml:space="preserve">Issues with Multiple Publishers</w:t>
      </w:r>
    </w:p>
    <w:p>
      <w:pPr>
        <w:spacing w:after="120" w:before="80"/>
        <w:jc w:val="both"/>
      </w:pPr>
      <w:r>
        <w:rPr>
          <w:rFonts w:ascii="Arial" w:cs="Arial" w:eastAsia="Arial" w:hAnsi="Arial"/>
          <w:color w:val="1A1A1A"/>
          <w:sz w:val="22"/>
          <w:szCs w:val="22"/>
        </w:rPr>
        <w:t xml:space="preserve">When a composition is co-written by songwriters affiliated with different publishers, the sync license request must be cleared with each publisher separately. Each publisher controls only its pro-rata share of the composition and can independently negotiate and grant licenses for that share. In practice, this means a sync licensee seeking to use a co-written composition may need to execute separate license agreements with two, three, or more publishers.</w:t>
      </w:r>
    </w:p>
    <w:p>
      <w:pPr>
        <w:spacing w:after="120" w:before="80"/>
        <w:jc w:val="both"/>
      </w:pPr>
      <w:r>
        <w:rPr>
          <w:rFonts w:ascii="Arial" w:cs="Arial" w:eastAsia="Arial" w:hAnsi="Arial"/>
          <w:color w:val="1A1A1A"/>
          <w:sz w:val="22"/>
          <w:szCs w:val="22"/>
        </w:rPr>
        <w:t xml:space="preserve">The critical practical issue with multiple publisher situations is the requirement for all rights holders to agree. If any one publisher withholds consent, the licensee cannot use the composition—even if all other publishers have granted licenses. This veto power gives each publisher significant negotiating leverage and is a reason why sync licensees strongly prefer compositions with single-publisher ownership.</w:t>
      </w:r>
    </w:p>
    <w:p>
      <w:pPr>
        <w:pStyle w:val="Heading2"/>
        <w:spacing w:after="180" w:before="360"/>
      </w:pPr>
      <w:r>
        <w:rPr>
          <w:rFonts w:ascii="Arial" w:cs="Arial" w:eastAsia="Arial" w:hAnsi="Arial"/>
          <w:b/>
          <w:bCs/>
          <w:color w:val="0D2137"/>
          <w:sz w:val="28"/>
          <w:szCs w:val="28"/>
        </w:rPr>
        <w:t xml:space="preserve">Using Most Favored Nations Clauses</w:t>
      </w:r>
    </w:p>
    <w:p>
      <w:pPr>
        <w:spacing w:after="120" w:before="80"/>
        <w:jc w:val="both"/>
      </w:pPr>
      <w:r>
        <w:rPr>
          <w:rFonts w:ascii="Arial" w:cs="Arial" w:eastAsia="Arial" w:hAnsi="Arial"/>
          <w:color w:val="1A1A1A"/>
          <w:sz w:val="22"/>
          <w:szCs w:val="22"/>
        </w:rPr>
        <w:t xml:space="preserve">The Most Favored Nations (MFN) clause is a standard provision in sync licensing that provides that if any comparable rights holder is granted more favorable terms than the MFN party, the MFN party is automatically entitled to the same terms. MFN clauses are typically invoked in two contexts in sync licensing: (1) between co-publishers of the same composition, ensuring that all publishers receive equivalent compensation; and (2) between the sync license fee for the musical composition and the master use license fee for the corresponding sound recording, ensuring parity between the two license fees.</w:t>
      </w:r>
    </w:p>
    <w:p>
      <w:pPr>
        <w:spacing w:after="120" w:before="80"/>
        <w:jc w:val="both"/>
      </w:pPr>
      <w:r>
        <w:rPr>
          <w:rFonts w:ascii="Arial" w:cs="Arial" w:eastAsia="Arial" w:hAnsi="Arial"/>
          <w:color w:val="1A1A1A"/>
          <w:sz w:val="22"/>
          <w:szCs w:val="22"/>
        </w:rPr>
        <w:t xml:space="preserve">From the publisher's perspective, MFN protection is a valuable safeguard against being disadvantaged in multi-rights negotiations. From the licensee's perspective, MFN clauses add cost and complexity—if one rights holder negotiates up, all MFN parties get the benefit. Sophisticated licensees, particularly in major motion picture productions, may attempt to limit MFN provisions to specific categories of rights or negotiate flat rate structures that explicitly exclude MFN treatment.</w:t>
      </w:r>
    </w:p>
    <w:p>
      <w:pPr>
        <w:pStyle w:val="Heading2"/>
        <w:spacing w:after="180" w:before="360"/>
      </w:pPr>
      <w:r>
        <w:rPr>
          <w:rFonts w:ascii="Arial" w:cs="Arial" w:eastAsia="Arial" w:hAnsi="Arial"/>
          <w:b/>
          <w:bCs/>
          <w:color w:val="0D2137"/>
          <w:sz w:val="28"/>
          <w:szCs w:val="28"/>
        </w:rPr>
        <w:t xml:space="preserve">Key License Terms</w:t>
      </w:r>
    </w:p>
    <w:p>
      <w:pPr>
        <w:spacing w:after="120" w:before="80"/>
        <w:jc w:val="both"/>
      </w:pPr>
      <w:r>
        <w:rPr>
          <w:rFonts w:ascii="Arial" w:cs="Arial" w:eastAsia="Arial" w:hAnsi="Arial"/>
          <w:color w:val="1A1A1A"/>
          <w:sz w:val="22"/>
          <w:szCs w:val="22"/>
        </w:rPr>
        <w:t xml:space="preserve">A sync license must address, at minimum, the following terms:</w:t>
      </w:r>
    </w:p>
    <w:p>
      <w:pPr>
        <w:pStyle w:val="ListParagraph"/>
        <w:numPr>
          <w:ilvl w:val="0"/>
          <w:numId w:val="2"/>
        </w:numPr>
        <w:spacing w:after="60" w:before="60"/>
      </w:pPr>
      <w:r>
        <w:rPr>
          <w:rFonts w:ascii="Arial" w:cs="Arial" w:eastAsia="Arial" w:hAnsi="Arial"/>
          <w:color w:val="1A1A1A"/>
          <w:sz w:val="22"/>
          <w:szCs w:val="22"/>
        </w:rPr>
        <w:t xml:space="preserve">Grant of rights — Specifically what rights are being licensed: the right to synchronize the composition in timed relation to specific visual content.</w:t>
      </w:r>
    </w:p>
    <w:p>
      <w:pPr>
        <w:pStyle w:val="ListParagraph"/>
        <w:numPr>
          <w:ilvl w:val="0"/>
          <w:numId w:val="2"/>
        </w:numPr>
        <w:spacing w:after="60" w:before="60"/>
      </w:pPr>
      <w:r>
        <w:rPr>
          <w:rFonts w:ascii="Arial" w:cs="Arial" w:eastAsia="Arial" w:hAnsi="Arial"/>
          <w:color w:val="1A1A1A"/>
          <w:sz w:val="22"/>
          <w:szCs w:val="22"/>
        </w:rPr>
        <w:t xml:space="preserve">Composition — Full and accurate title, songwriter, and publisher identification.</w:t>
      </w:r>
    </w:p>
    <w:p>
      <w:pPr>
        <w:pStyle w:val="ListParagraph"/>
        <w:numPr>
          <w:ilvl w:val="0"/>
          <w:numId w:val="2"/>
        </w:numPr>
        <w:spacing w:after="60" w:before="60"/>
      </w:pPr>
      <w:r>
        <w:rPr>
          <w:rFonts w:ascii="Arial" w:cs="Arial" w:eastAsia="Arial" w:hAnsi="Arial"/>
          <w:color w:val="1A1A1A"/>
          <w:sz w:val="22"/>
          <w:szCs w:val="22"/>
        </w:rPr>
        <w:t xml:space="preserve">Territory — Geographic scope of the license: worldwide, specific countries or regions.</w:t>
      </w:r>
    </w:p>
    <w:p>
      <w:pPr>
        <w:pStyle w:val="ListParagraph"/>
        <w:numPr>
          <w:ilvl w:val="0"/>
          <w:numId w:val="2"/>
        </w:numPr>
        <w:spacing w:after="60" w:before="60"/>
      </w:pPr>
      <w:r>
        <w:rPr>
          <w:rFonts w:ascii="Arial" w:cs="Arial" w:eastAsia="Arial" w:hAnsi="Arial"/>
          <w:color w:val="1A1A1A"/>
          <w:sz w:val="22"/>
          <w:szCs w:val="22"/>
        </w:rPr>
        <w:t xml:space="preserve">Term — Duration of the license: in perpetuity, a specific number of years, or tied to the term of a distribution agreement.</w:t>
      </w:r>
    </w:p>
    <w:p>
      <w:pPr>
        <w:pStyle w:val="ListParagraph"/>
        <w:numPr>
          <w:ilvl w:val="0"/>
          <w:numId w:val="2"/>
        </w:numPr>
        <w:spacing w:after="60" w:before="60"/>
      </w:pPr>
      <w:r>
        <w:rPr>
          <w:rFonts w:ascii="Arial" w:cs="Arial" w:eastAsia="Arial" w:hAnsi="Arial"/>
          <w:color w:val="1A1A1A"/>
          <w:sz w:val="22"/>
          <w:szCs w:val="22"/>
        </w:rPr>
        <w:t xml:space="preserve">Media — Specific formats: theatrical film, broadcast television, cable, home video (DVD/Blu-ray), streaming (SVOD, AVOD, TVOD), airline, educational, internet.</w:t>
      </w:r>
    </w:p>
    <w:p>
      <w:pPr>
        <w:pStyle w:val="ListParagraph"/>
        <w:numPr>
          <w:ilvl w:val="0"/>
          <w:numId w:val="2"/>
        </w:numPr>
        <w:spacing w:after="60" w:before="60"/>
      </w:pPr>
      <w:r>
        <w:rPr>
          <w:rFonts w:ascii="Arial" w:cs="Arial" w:eastAsia="Arial" w:hAnsi="Arial"/>
          <w:color w:val="1A1A1A"/>
          <w:sz w:val="22"/>
          <w:szCs w:val="22"/>
        </w:rPr>
        <w:t xml:space="preserve">Exclusivity — Whether the use is exclusive or non-exclusive for the licensed media and territory.</w:t>
      </w:r>
    </w:p>
    <w:p>
      <w:pPr>
        <w:pStyle w:val="ListParagraph"/>
        <w:numPr>
          <w:ilvl w:val="0"/>
          <w:numId w:val="2"/>
        </w:numPr>
        <w:spacing w:after="60" w:before="60"/>
      </w:pPr>
      <w:r>
        <w:rPr>
          <w:rFonts w:ascii="Arial" w:cs="Arial" w:eastAsia="Arial" w:hAnsi="Arial"/>
          <w:color w:val="1A1A1A"/>
          <w:sz w:val="22"/>
          <w:szCs w:val="22"/>
        </w:rPr>
        <w:t xml:space="preserve">Fee — The sync license fee, including any advance, minimum guarantee, or per-use royalty structure.</w:t>
      </w:r>
    </w:p>
    <w:p>
      <w:pPr>
        <w:pStyle w:val="ListParagraph"/>
        <w:numPr>
          <w:ilvl w:val="0"/>
          <w:numId w:val="2"/>
        </w:numPr>
        <w:spacing w:after="60" w:before="60"/>
      </w:pPr>
      <w:r>
        <w:rPr>
          <w:rFonts w:ascii="Arial" w:cs="Arial" w:eastAsia="Arial" w:hAnsi="Arial"/>
          <w:color w:val="1A1A1A"/>
          <w:sz w:val="22"/>
          <w:szCs w:val="22"/>
        </w:rPr>
        <w:t xml:space="preserve">Credit — Whether and in what form the songwriter and publisher receive screen credit.</w:t>
      </w:r>
    </w:p>
    <w:p>
      <w:pPr>
        <w:pStyle w:val="ListParagraph"/>
        <w:numPr>
          <w:ilvl w:val="0"/>
          <w:numId w:val="2"/>
        </w:numPr>
        <w:spacing w:after="60" w:before="60"/>
      </w:pPr>
      <w:r>
        <w:rPr>
          <w:rFonts w:ascii="Arial" w:cs="Arial" w:eastAsia="Arial" w:hAnsi="Arial"/>
          <w:color w:val="1A1A1A"/>
          <w:sz w:val="22"/>
          <w:szCs w:val="22"/>
        </w:rPr>
        <w:t xml:space="preserve">Options — Any options to extend the license term or expand the licensed media, and the option fees payable.</w:t>
      </w:r>
    </w:p>
    <w:p>
      <w:pPr>
        <w:pStyle w:val="ListParagraph"/>
        <w:numPr>
          <w:ilvl w:val="0"/>
          <w:numId w:val="2"/>
        </w:numPr>
        <w:spacing w:after="60" w:before="60"/>
      </w:pPr>
      <w:r>
        <w:rPr>
          <w:rFonts w:ascii="Arial" w:cs="Arial" w:eastAsia="Arial" w:hAnsi="Arial"/>
          <w:color w:val="1A1A1A"/>
          <w:sz w:val="22"/>
          <w:szCs w:val="22"/>
        </w:rPr>
        <w:t xml:space="preserve">Cue sheet obligation — The licensee's obligation to deliver an accurate music cue sheet to the publisher.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1: </w:t>
            </w:r>
            <w:r>
              <w:rPr>
                <w:rFonts w:ascii="Arial" w:cs="Arial" w:eastAsia="Arial" w:hAnsi="Arial"/>
                <w:b/>
                <w:bCs/>
                <w:color w:val="FFFFFF"/>
                <w:sz w:val="22"/>
                <w:szCs w:val="22"/>
              </w:rPr>
              <w:t xml:space="preserve">SYNC LICENSE FOR AN INDEPENDENT FILM — FESTIVAL TO DISTRIBUTION STEP DEAL</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An independent filmmaker seeks to license a catalog composition for use in a feature film's climactic scene. The film is completing post-production and has not yet secured distribution. The filmmaker proposes a festival-only license with options for subsequent distribution rights.</w:t>
      </w:r>
    </w:p>
    <w:p>
      <w:pPr>
        <w:spacing w:after="120" w:before="80"/>
        <w:jc w:val="both"/>
      </w:pPr>
      <w:r>
        <w:rPr>
          <w:rFonts w:ascii="Arial" w:cs="Arial" w:eastAsia="Arial" w:hAnsi="Arial"/>
          <w:color w:val="1A1A1A"/>
          <w:sz w:val="22"/>
          <w:szCs w:val="22"/>
        </w:rPr>
        <w:t xml:space="preserve">Issue: The publisher must structure a license that protects its interests at each stage of the film's commercial life while accommodating the filmmaker's cash flow constraints during the pre-distribution period.</w:t>
      </w:r>
    </w:p>
    <w:p>
      <w:pPr>
        <w:spacing w:after="120" w:before="80"/>
        <w:jc w:val="both"/>
      </w:pPr>
      <w:r>
        <w:rPr>
          <w:rFonts w:ascii="Arial" w:cs="Arial" w:eastAsia="Arial" w:hAnsi="Arial"/>
          <w:color w:val="1A1A1A"/>
          <w:sz w:val="22"/>
          <w:szCs w:val="22"/>
        </w:rPr>
        <w:t xml:space="preserve">Analysis: A step deal structure is appropriate. The initial grant is limited to festival exhibition (non-commercial screenings). Subsequent commercial distribution rights—domestic theatrical, international theatrical, home video, streaming—are structured as separately priced options that the licensee may exercise within defined windows. The aggregate fee escalates at each step, reflecting the increasing commercial value of the use.</w:t>
      </w:r>
    </w:p>
    <w:p>
      <w:pPr>
        <w:spacing w:after="120" w:before="80"/>
        <w:jc w:val="both"/>
      </w:pPr>
      <w:r>
        <w:rPr>
          <w:rFonts w:ascii="Arial" w:cs="Arial" w:eastAsia="Arial" w:hAnsi="Arial"/>
          <w:color w:val="1A1A1A"/>
          <w:sz w:val="22"/>
          <w:szCs w:val="22"/>
        </w:rPr>
        <w:t xml:space="preserve">Resolution: Publisher executes a festival license with an upfront fee of $2,000 granting non-commercial festival exhibition rights worldwide for a period of 18 months. The license includes three options: (1) domestic theatrical, exercisable for $5,000 within 18 months of festival premiere; (2) home video and streaming (non-theatrical), exercisable for $3,500; and (3) international theatrical, exercisable for $4,000. Each option fee is non-refundable and non-recoupable against future options.</w:t>
      </w:r>
    </w:p>
    <w:p>
      <w:pPr>
        <w:spacing w:after="120" w:before="80"/>
        <w:jc w:val="both"/>
      </w:pPr>
      <w:r>
        <w:rPr>
          <w:rFonts w:ascii="Arial" w:cs="Arial" w:eastAsia="Arial" w:hAnsi="Arial"/>
          <w:color w:val="1A1A1A"/>
          <w:sz w:val="22"/>
          <w:szCs w:val="22"/>
        </w:rPr>
        <w:t xml:space="preserve">Outcome: The film premieres at Sundance and acquires domestic theatrical distribution. The licensee exercises Option 1. The film subsequently acquires a Netflix streaming deal; the licensee exercises Option 2. Total sync fee received: $10,500. A subsequent television broadcast license is negotiated separately at the time of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Step deal structures are standard practice for independent film sync licensing and represent sound risk management for both parties. The publisher captures value at each stage of commercialization without pricing out an independent filmmaker at the outset. The filmmaker preserves optionality without incurring the full cost of a perpetual all-media license upfront. At negotiation, the publisher's key leverage is the licensee's inability to use the composition at all—in any format—without the license.</w:t>
            </w:r>
          </w:p>
        </w:tc>
      </w:tr>
    </w:tbl>
    <w:p>
      <w:pPr>
        <w:pStyle w:val="Heading2"/>
        <w:spacing w:after="180" w:before="360"/>
      </w:pPr>
      <w:r>
        <w:rPr>
          <w:rFonts w:ascii="Arial" w:cs="Arial" w:eastAsia="Arial" w:hAnsi="Arial"/>
          <w:b/>
          <w:bCs/>
          <w:color w:val="0D2137"/>
          <w:sz w:val="28"/>
          <w:szCs w:val="28"/>
        </w:rPr>
        <w:t xml:space="preserve">The Quotation Process</w:t>
      </w:r>
    </w:p>
    <w:p>
      <w:pPr>
        <w:spacing w:after="120" w:before="80"/>
        <w:jc w:val="both"/>
      </w:pPr>
      <w:r>
        <w:rPr>
          <w:rFonts w:ascii="Arial" w:cs="Arial" w:eastAsia="Arial" w:hAnsi="Arial"/>
          <w:color w:val="1A1A1A"/>
          <w:sz w:val="22"/>
          <w:szCs w:val="22"/>
        </w:rPr>
        <w:t xml:space="preserve">The sync licensing quotation process is the sequence by which a prospective licensee requests and receives a license fee quote from the publisher. The process typically proceeds as follows: (1) the licensee (or their music supervisor) contacts the publisher or publishing administrator with a request for quote (RFQ) describing the intended use; (2) the publisher reviews the request and assesses the appropriate fee based on the commercial profile of the use; (3) the publisher submits a quote; (4) the parties negotiate; and (5) if terms are agreed, a license agreement is executed.</w:t>
      </w:r>
    </w:p>
    <w:p>
      <w:pPr>
        <w:spacing w:after="120" w:before="80"/>
        <w:jc w:val="both"/>
      </w:pPr>
      <w:r>
        <w:rPr>
          <w:rFonts w:ascii="Arial" w:cs="Arial" w:eastAsia="Arial" w:hAnsi="Arial"/>
          <w:color w:val="1A1A1A"/>
          <w:sz w:val="22"/>
          <w:szCs w:val="22"/>
        </w:rPr>
        <w:t xml:space="preserve">Key factors in fee determination include: the prominence of the use (featured vs. background, over-title vs. end credits); the duration of the use; the territory and term; the budget and commercial profile of the production; the profile of the composition (iconic vs. catalog, well-known artist vs. unknown); and the market context (what comparable licenses have been issued for comparable compositions in comparable uses).</w:t>
      </w:r>
    </w:p>
    <w:p>
      <w:pPr>
        <w:pStyle w:val="Heading2"/>
        <w:spacing w:after="180" w:before="360"/>
      </w:pPr>
      <w:r>
        <w:rPr>
          <w:rFonts w:ascii="Arial" w:cs="Arial" w:eastAsia="Arial" w:hAnsi="Arial"/>
          <w:b/>
          <w:bCs/>
          <w:color w:val="0D2137"/>
          <w:sz w:val="28"/>
          <w:szCs w:val="28"/>
        </w:rPr>
        <w:t xml:space="preserve">Motion Picture Licensing</w:t>
      </w:r>
    </w:p>
    <w:p>
      <w:pPr>
        <w:spacing w:after="120" w:before="80"/>
        <w:jc w:val="both"/>
      </w:pPr>
      <w:r>
        <w:rPr>
          <w:rFonts w:ascii="Arial" w:cs="Arial" w:eastAsia="Arial" w:hAnsi="Arial"/>
          <w:color w:val="1A1A1A"/>
          <w:sz w:val="22"/>
          <w:szCs w:val="22"/>
        </w:rPr>
        <w:t xml:space="preserve">Motion picture sync licenses are typically the highest-value sync licenses in the market, reflecting the commercial scope of theatrical film distribution. A major studio production seeking to use a well-known composition in a prominent, over-title sequence may pay sync fees in the range of $50,000 to $250,000 or more, depending on the factors noted above. Background and incidental uses in the same film might be licensed for $10,000 to $30,000.</w:t>
      </w:r>
    </w:p>
    <w:p>
      <w:pPr>
        <w:spacing w:after="120" w:before="80"/>
        <w:jc w:val="both"/>
      </w:pPr>
      <w:r>
        <w:rPr>
          <w:rFonts w:ascii="Arial" w:cs="Arial" w:eastAsia="Arial" w:hAnsi="Arial"/>
          <w:color w:val="1A1A1A"/>
          <w:sz w:val="22"/>
          <w:szCs w:val="22"/>
        </w:rPr>
        <w:t xml:space="preserve">Motion picture licenses are typically granted on a perpetual, worldwide, all-media basis—covering theatrical exhibition, home video, television broadcast, streaming, airline, and all other audiovisual distribution formats in existence or hereafter developed. This broad grant reflects the commercial reality that a film's distribution extends across all formats for its entire commercial life, and re-licensing for each new format would be impractical.</w:t>
      </w:r>
    </w:p>
    <w:p>
      <w:pPr>
        <w:pStyle w:val="Heading2"/>
        <w:spacing w:after="180" w:before="360"/>
      </w:pPr>
      <w:r>
        <w:rPr>
          <w:rFonts w:ascii="Arial" w:cs="Arial" w:eastAsia="Arial" w:hAnsi="Arial"/>
          <w:b/>
          <w:bCs/>
          <w:color w:val="0D2137"/>
          <w:sz w:val="28"/>
          <w:szCs w:val="28"/>
        </w:rPr>
        <w:t xml:space="preserve">Licensing for Television</w:t>
      </w:r>
    </w:p>
    <w:p>
      <w:pPr>
        <w:spacing w:after="120" w:before="80"/>
        <w:jc w:val="both"/>
      </w:pPr>
      <w:r>
        <w:rPr>
          <w:rFonts w:ascii="Arial" w:cs="Arial" w:eastAsia="Arial" w:hAnsi="Arial"/>
          <w:color w:val="1A1A1A"/>
          <w:sz w:val="22"/>
          <w:szCs w:val="22"/>
        </w:rPr>
        <w:t xml:space="preserve">Television sync licensing is distinguished from motion picture licensing primarily by the episodic nature of television production and the complexity of rights clearance across multiple broadcast windows. Network, cable, and streaming television productions license compositions for specific use in specific episodes, with options for subsequent broadcast windows and streaming rights.</w:t>
      </w:r>
    </w:p>
    <w:p>
      <w:pPr>
        <w:spacing w:after="120" w:before="80"/>
        <w:jc w:val="both"/>
      </w:pPr>
      <w:r>
        <w:rPr>
          <w:rFonts w:ascii="Arial" w:cs="Arial" w:eastAsia="Arial" w:hAnsi="Arial"/>
          <w:color w:val="1A1A1A"/>
          <w:sz w:val="22"/>
          <w:szCs w:val="22"/>
        </w:rPr>
        <w:t xml:space="preserve">Television license fees vary widely based on: the network or platform (major network, cable, streaming service), the type of use (theme, featured, background), the duration of the episode run, and the geographic scope of the license. A major network theme license can command fees comparable to motion picture licensing. Background uses in individual episodes of a streaming drama might be licensed for $2,500 to $10,000.</w:t>
      </w:r>
    </w:p>
    <w:p>
      <w:pPr>
        <w:pStyle w:val="Heading2"/>
        <w:spacing w:after="180" w:before="360"/>
      </w:pPr>
      <w:r>
        <w:rPr>
          <w:rFonts w:ascii="Arial" w:cs="Arial" w:eastAsia="Arial" w:hAnsi="Arial"/>
          <w:b/>
          <w:bCs/>
          <w:color w:val="0D2137"/>
          <w:sz w:val="28"/>
          <w:szCs w:val="28"/>
        </w:rPr>
        <w:t xml:space="preserve">Licensing for Home Video</w:t>
      </w:r>
    </w:p>
    <w:p>
      <w:pPr>
        <w:spacing w:after="120" w:before="80"/>
        <w:jc w:val="both"/>
      </w:pPr>
      <w:r>
        <w:rPr>
          <w:rFonts w:ascii="Arial" w:cs="Arial" w:eastAsia="Arial" w:hAnsi="Arial"/>
          <w:color w:val="1A1A1A"/>
          <w:sz w:val="22"/>
          <w:szCs w:val="22"/>
        </w:rPr>
        <w:t xml:space="preserve">Home video licenses—covering DVD, Blu-ray, and streaming distribution—were historically negotiated as separate licenses from theatrical and television licenses, reflecting the distinct distribution windows. With the collapse of the home video market and the rise of streaming, home video and streaming rights are now typically negotiated together as part of a unified non-theatrical or home entertainment license.</w:t>
      </w:r>
    </w:p>
    <w:p>
      <w:pPr>
        <w:spacing w:after="120" w:before="80"/>
        <w:jc w:val="both"/>
      </w:pPr>
      <w:r>
        <w:rPr>
          <w:rFonts w:ascii="Arial" w:cs="Arial" w:eastAsia="Arial" w:hAnsi="Arial"/>
          <w:color w:val="1A1A1A"/>
          <w:sz w:val="22"/>
          <w:szCs w:val="22"/>
        </w:rPr>
        <w:t xml:space="preserve">Streaming platform licenses present a distinct challenge: the scale of streaming distribution—potentially hundreds of millions of viewers across all territories simultaneously—arguably justifies higher fees than traditional window-based licensing. In practice, major streaming platforms have significant negotiating leverage that typically results in below-market license fees for individual composition uses, particularly in the context of large-scale content licensing agreements.</w:t>
      </w:r>
    </w:p>
    <w:p>
      <w:pPr>
        <w:pStyle w:val="Heading2"/>
        <w:spacing w:after="180" w:before="360"/>
      </w:pPr>
      <w:r>
        <w:rPr>
          <w:rFonts w:ascii="Arial" w:cs="Arial" w:eastAsia="Arial" w:hAnsi="Arial"/>
          <w:b/>
          <w:bCs/>
          <w:color w:val="0D2137"/>
          <w:sz w:val="28"/>
          <w:szCs w:val="28"/>
        </w:rPr>
        <w:t xml:space="preserve">Licensing for Commercials</w:t>
      </w:r>
    </w:p>
    <w:p>
      <w:pPr>
        <w:spacing w:after="120" w:before="80"/>
        <w:jc w:val="both"/>
      </w:pPr>
      <w:r>
        <w:rPr>
          <w:rFonts w:ascii="Arial" w:cs="Arial" w:eastAsia="Arial" w:hAnsi="Arial"/>
          <w:color w:val="1A1A1A"/>
          <w:sz w:val="22"/>
          <w:szCs w:val="22"/>
        </w:rPr>
        <w:t xml:space="preserve">Advertising synchronization licenses are among the highest-value and most scrutinized sync licenses in the market. A major advertising campaign for a national brand may offer sync fees of $100,000 to $500,000 or more for a well-known composition. The commercial context—in which the composition is associated with a brand's marketing message—is distinct from film and television use, and many songwriters and publishers maintain artistic objections to certain commercial uses.</w:t>
      </w:r>
    </w:p>
    <w:p>
      <w:pPr>
        <w:spacing w:after="120" w:before="80"/>
        <w:jc w:val="both"/>
      </w:pPr>
      <w:r>
        <w:rPr>
          <w:rFonts w:ascii="Arial" w:cs="Arial" w:eastAsia="Arial" w:hAnsi="Arial"/>
          <w:color w:val="1A1A1A"/>
          <w:sz w:val="22"/>
          <w:szCs w:val="22"/>
        </w:rPr>
        <w:t xml:space="preserve">Commercial sync licenses are typically limited in term (six months to one year, with renewal options), territory (domestic vs. international), and media (television, radio, internet, cinema). The limited term structure preserves the publisher's ability to relicense and re-price for each campaign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3: </w:t>
            </w:r>
            <w:r>
              <w:rPr>
                <w:rFonts w:ascii="Arial" w:cs="Arial" w:eastAsia="Arial" w:hAnsi="Arial"/>
                <w:b/>
                <w:bCs/>
                <w:color w:val="FFFFFF"/>
                <w:sz w:val="22"/>
                <w:szCs w:val="22"/>
              </w:rPr>
              <w:t xml:space="preserve">COMMERCIAL SYNC LICENSE — WRITER APPROVAL ISSUE</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Fortune 500 consumer goods company's advertising agency contacts MusiGod seeking to license a well-known catalog composition for a national television campaign. The proposed fee is $175,000 for a one-year domestic television and internet license.</w:t>
      </w:r>
    </w:p>
    <w:p>
      <w:pPr>
        <w:spacing w:after="120" w:before="80"/>
        <w:jc w:val="both"/>
      </w:pPr>
      <w:r>
        <w:rPr>
          <w:rFonts w:ascii="Arial" w:cs="Arial" w:eastAsia="Arial" w:hAnsi="Arial"/>
          <w:color w:val="1A1A1A"/>
          <w:sz w:val="22"/>
          <w:szCs w:val="22"/>
        </w:rPr>
        <w:t xml:space="preserve">Issue: The publishing agreement with the songwriter includes a provision requiring the songwriter's prior written approval before granting any synchronization license for advertising purposes. The songwriter objects to the specific brand association.</w:t>
      </w:r>
    </w:p>
    <w:p>
      <w:pPr>
        <w:spacing w:after="120" w:before="80"/>
        <w:jc w:val="both"/>
      </w:pPr>
      <w:r>
        <w:rPr>
          <w:rFonts w:ascii="Arial" w:cs="Arial" w:eastAsia="Arial" w:hAnsi="Arial"/>
          <w:color w:val="1A1A1A"/>
          <w:sz w:val="22"/>
          <w:szCs w:val="22"/>
        </w:rPr>
        <w:t xml:space="preserve">Analysis: Songwriter approval provisions for commercial synchronization licenses are enforceable contractual rights. They exist because the reputational association between a composition and a brand can be permanent and irreversible—once the public associates a song with a particular brand, that association may color the song's use in other contexts indefinitely. The publisher cannot grant the license without the songwriter's consent, regardless of the commercial terms.</w:t>
      </w:r>
    </w:p>
    <w:p>
      <w:pPr>
        <w:spacing w:after="120" w:before="80"/>
        <w:jc w:val="both"/>
      </w:pPr>
      <w:r>
        <w:rPr>
          <w:rFonts w:ascii="Arial" w:cs="Arial" w:eastAsia="Arial" w:hAnsi="Arial"/>
          <w:color w:val="1A1A1A"/>
          <w:sz w:val="22"/>
          <w:szCs w:val="22"/>
        </w:rPr>
        <w:t xml:space="preserve">Resolution: Publisher declines the license request and communicates the songwriter's position to the agency. The agency presents an alternative composition from the same catalog without an approval requirement. The publisher negotiates and issues that license at $150,000.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Songwriter approval provisions over commercial uses are non-negotiable contractual rights that publishers must honor without exception. Any attempt to circumvent such provisions—whether by mischaracterizing the use or executing a license without obtaining required approvals—exposes the publisher to significant legal liability and destroys the trust relationship with the songwriter. At MusiGod, standard publishing administration agreements will clearly identify all approval rights the songwriter retains and will not execute any license in contravention of those rights.</w:t>
            </w:r>
          </w:p>
        </w:tc>
      </w:tr>
    </w:tbl>
    <w:p>
      <w:pPr>
        <w:pStyle w:val="Heading2"/>
        <w:spacing w:after="180" w:before="360"/>
      </w:pPr>
      <w:r>
        <w:rPr>
          <w:rFonts w:ascii="Arial" w:cs="Arial" w:eastAsia="Arial" w:hAnsi="Arial"/>
          <w:b/>
          <w:bCs/>
          <w:color w:val="0D2137"/>
          <w:sz w:val="28"/>
          <w:szCs w:val="28"/>
        </w:rPr>
        <w:t xml:space="preserve">Music Cue Sheet</w:t>
      </w:r>
    </w:p>
    <w:p>
      <w:pPr>
        <w:spacing w:after="120" w:before="80"/>
        <w:jc w:val="both"/>
      </w:pPr>
      <w:r>
        <w:rPr>
          <w:rFonts w:ascii="Arial" w:cs="Arial" w:eastAsia="Arial" w:hAnsi="Arial"/>
          <w:color w:val="1A1A1A"/>
          <w:sz w:val="22"/>
          <w:szCs w:val="22"/>
        </w:rPr>
        <w:t xml:space="preserve">The music cue sheet is a production document that lists every musical composition used in an audiovisual production, with precise information about each use: the composition title, songwriter(s), publisher(s), PRO affiliation, type of use, duration, and timing of appearance in the production. Cue sheets are submitted by the production company to the applicable PROs to support payment of public performance royalties when the production is broadcast or streamed.</w:t>
      </w:r>
    </w:p>
    <w:p>
      <w:pPr>
        <w:spacing w:after="120" w:before="80"/>
        <w:jc w:val="both"/>
      </w:pPr>
      <w:r>
        <w:rPr>
          <w:rFonts w:ascii="Arial" w:cs="Arial" w:eastAsia="Arial" w:hAnsi="Arial"/>
          <w:color w:val="1A1A1A"/>
          <w:sz w:val="22"/>
          <w:szCs w:val="22"/>
        </w:rPr>
        <w:t xml:space="preserve">Accurate cue sheets are essential to performance royalty collection. An error in a cue sheet—a misspelled name, an incorrect publisher identification, a missing ISWC—can prevent the PRO from matching the performance to the correct composition and distributing performance royalties to the correct rights holder. Publishers should request copies of all cue sheets for productions that license their compositions and verify the accuracy of the information.</w:t>
      </w:r>
    </w:p>
    <w:p>
      <w:pPr>
        <w:spacing w:after="0" w:before="120"/>
      </w:pPr>
      <w:r>
        <w:t xml:space="preserve"/>
      </w:r>
    </w:p>
    <w:p>
      <w:pPr>
        <w:spacing w:after="80" w:before="240"/>
      </w:pPr>
      <w:r>
        <w:rPr>
          <w:rFonts w:ascii="Arial" w:cs="Arial" w:eastAsia="Arial" w:hAnsi="Arial"/>
          <w:b/>
          <w:bCs/>
          <w:color w:val="0D2137"/>
          <w:sz w:val="22"/>
          <w:szCs w:val="22"/>
          <w:u w:val="single"/>
        </w:rPr>
        <w:t xml:space="preserve">MOTION PICTURE SYNCHRONIZATION AND PERFORMING RIGHTS LICENSE — PRODUCER'S VERSION</w:t>
      </w:r>
    </w:p>
    <w:p>
      <w:pPr>
        <w:spacing w:after="80" w:before="80"/>
        <w:ind w:left="720"/>
      </w:pPr>
      <w:r>
        <w:rPr>
          <w:rFonts w:ascii="Courier New" w:cs="Courier New" w:eastAsia="Courier New" w:hAnsi="Courier New"/>
          <w:color w:val="1A1A1A"/>
          <w:sz w:val="20"/>
          <w:szCs w:val="20"/>
        </w:rPr>
        <w:t xml:space="preserve">Date: _______________</w:t>
      </w:r>
    </w:p>
    <w:p>
      <w:pPr>
        <w:spacing w:after="80" w:before="80"/>
        <w:ind w:left="720"/>
      </w:pPr>
      <w:r>
        <w:rPr>
          <w:rFonts w:ascii="Courier New" w:cs="Courier New" w:eastAsia="Courier New" w:hAnsi="Courier New"/>
          <w:color w:val="1A1A1A"/>
          <w:sz w:val="20"/>
          <w:szCs w:val="20"/>
        </w:rPr>
        <w:t xml:space="preserve">Licensor: MusiGod Publishing Administration ("Publisher")</w:t>
      </w:r>
    </w:p>
    <w:p>
      <w:pPr>
        <w:spacing w:after="80" w:before="80"/>
        <w:ind w:left="720"/>
      </w:pPr>
      <w:r>
        <w:rPr>
          <w:rFonts w:ascii="Courier New" w:cs="Courier New" w:eastAsia="Courier New" w:hAnsi="Courier New"/>
          <w:color w:val="1A1A1A"/>
          <w:sz w:val="20"/>
          <w:szCs w:val="20"/>
        </w:rPr>
        <w:t xml:space="preserve">Licensee: _______________ ("Producer")</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w:t>
      </w:r>
      <w:r>
        <w:rPr>
          <w:rFonts w:ascii="Courier New" w:cs="Courier New" w:eastAsia="Courier New" w:hAnsi="Courier New"/>
          <w:color w:val="1A1A1A"/>
          <w:sz w:val="20"/>
          <w:szCs w:val="20"/>
        </w:rPr>
        <w:t xml:space="preserve">Subject to the terms hereof, Publisher grants to Producer a non-exclusive synchronization license to record, dub, and synchronize the musical composition identified in Schedule A (the "Composition") in timed relation to the motion picture currently entitled "_______________" (the "Picture"), and to publicly perform the Composition as embodied in the Picture, throughout the territory identified in Schedule A, by the means and in the media specified in Schedule A, for the term specified in Schedule A.</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FEE. </w:t>
      </w:r>
      <w:r>
        <w:rPr>
          <w:rFonts w:ascii="Courier New" w:cs="Courier New" w:eastAsia="Courier New" w:hAnsi="Courier New"/>
          <w:color w:val="1A1A1A"/>
          <w:sz w:val="20"/>
          <w:szCs w:val="20"/>
        </w:rPr>
        <w:t xml:space="preserve">In consideration for the rights granted herein, Producer shall pay Publisher the fee set forth in Schedule A, payable upon execution hereof. The fee is non-refundable and non-recoupable except as otherwise expressly provided herein.</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CREDIT. </w:t>
      </w:r>
      <w:r>
        <w:rPr>
          <w:rFonts w:ascii="Courier New" w:cs="Courier New" w:eastAsia="Courier New" w:hAnsi="Courier New"/>
          <w:color w:val="1A1A1A"/>
          <w:sz w:val="20"/>
          <w:szCs w:val="20"/>
        </w:rPr>
        <w:t xml:space="preserve">Producer shall accord songwriting and publishing credit in the form and position specified in Schedule A, in all copies of the Picture and in all promotional materials where music credits are customarily provided.</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CUE SHEET. </w:t>
      </w:r>
      <w:r>
        <w:rPr>
          <w:rFonts w:ascii="Courier New" w:cs="Courier New" w:eastAsia="Courier New" w:hAnsi="Courier New"/>
          <w:color w:val="1A1A1A"/>
          <w:sz w:val="20"/>
          <w:szCs w:val="20"/>
        </w:rPr>
        <w:t xml:space="preserve">Producer shall deliver to Publisher a complete and accurate music cue sheet for the Picture within 30 days of the initial release or broadcast of the Picture, and shall update such cue sheet promptly following any material revision.</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PERFORMING RIGHTS. </w:t>
      </w:r>
      <w:r>
        <w:rPr>
          <w:rFonts w:ascii="Courier New" w:cs="Courier New" w:eastAsia="Courier New" w:hAnsi="Courier New"/>
          <w:color w:val="1A1A1A"/>
          <w:sz w:val="20"/>
          <w:szCs w:val="20"/>
        </w:rPr>
        <w:t xml:space="preserve">The performance of the Composition as embodied in the Picture shall be subject to the payment of public performance royalties by broadcasters and exhibitors in accordance with the applicable blanket or per-program licenses issued by performing rights organizations. This license does not authorize the "at the source" collection of performance royalties.</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RESERVATION OF RIGHTS. </w:t>
      </w:r>
      <w:r>
        <w:rPr>
          <w:rFonts w:ascii="Courier New" w:cs="Courier New" w:eastAsia="Courier New" w:hAnsi="Courier New"/>
          <w:color w:val="1A1A1A"/>
          <w:sz w:val="20"/>
          <w:szCs w:val="20"/>
        </w:rPr>
        <w:t xml:space="preserve">All rights not expressly granted herein are reserved to Publisher. Without limiting the foregoing, this license does not include: (a) dramatic rights; (b) the right to alter, adapt, or create derivative works based on the Composition; (c) rights to use the Composition in any commercial advertising; or (d) rights in the underlying sound recording.</w:t>
      </w:r>
    </w:p>
    <w:p>
      <w:pPr>
        <w:spacing w:after="80" w:before="120"/>
        <w:ind w:left="360"/>
        <w:jc w:val="both"/>
      </w:pPr>
      <w:r>
        <w:rPr>
          <w:rFonts w:ascii="Courier New" w:cs="Courier New" w:eastAsia="Courier New" w:hAnsi="Courier New"/>
          <w:b/>
          <w:bCs/>
          <w:sz w:val="20"/>
          <w:szCs w:val="20"/>
        </w:rPr>
        <w:t xml:space="preserve">7. </w:t>
      </w:r>
      <w:r>
        <w:rPr>
          <w:rFonts w:ascii="Courier New" w:cs="Courier New" w:eastAsia="Courier New" w:hAnsi="Courier New"/>
          <w:b/>
          <w:bCs/>
          <w:sz w:val="20"/>
          <w:szCs w:val="20"/>
        </w:rPr>
        <w:t xml:space="preserve">WARRANTIES. </w:t>
      </w:r>
      <w:r>
        <w:rPr>
          <w:rFonts w:ascii="Courier New" w:cs="Courier New" w:eastAsia="Courier New" w:hAnsi="Courier New"/>
          <w:color w:val="1A1A1A"/>
          <w:sz w:val="20"/>
          <w:szCs w:val="20"/>
        </w:rPr>
        <w:t xml:space="preserve">Publisher warrants that it has the right to grant the license herein and that the Composition does not infringe the copyright of any third party, subject to matters of public record. Publisher makes no warranty regarding the Composition's title clearance for trademark or right of publicity purposes.</w:t>
      </w:r>
    </w:p>
    <w:p>
      <w:pPr>
        <w:spacing w:after="80" w:before="120"/>
        <w:ind w:left="360"/>
        <w:jc w:val="both"/>
      </w:pPr>
      <w:r>
        <w:rPr>
          <w:rFonts w:ascii="Courier New" w:cs="Courier New" w:eastAsia="Courier New" w:hAnsi="Courier New"/>
          <w:b/>
          <w:bCs/>
          <w:sz w:val="20"/>
          <w:szCs w:val="20"/>
        </w:rPr>
        <w:t xml:space="preserve">8. </w:t>
      </w:r>
      <w:r>
        <w:rPr>
          <w:rFonts w:ascii="Courier New" w:cs="Courier New" w:eastAsia="Courier New" w:hAnsi="Courier New"/>
          <w:b/>
          <w:bCs/>
          <w:sz w:val="20"/>
          <w:szCs w:val="20"/>
        </w:rPr>
        <w:t xml:space="preserve">BREACH AND TERMINATION. </w:t>
      </w:r>
      <w:r>
        <w:rPr>
          <w:rFonts w:ascii="Courier New" w:cs="Courier New" w:eastAsia="Courier New" w:hAnsi="Courier New"/>
          <w:color w:val="1A1A1A"/>
          <w:sz w:val="20"/>
          <w:szCs w:val="20"/>
        </w:rPr>
        <w:t xml:space="preserve">In the event of a material breach of this Agreement by Producer that remains uncured for 30 days following written notice, Publisher may terminate this license and seek all available legal and equitable remedies, including injunctive relief.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CLAUSE 1 NOTE: 'Non-exclusive' is standard for sync licensing; exclusive sync licenses are rare and command premium fees. The schedule approach (Schedule A) makes the license agreement reusable as a form while allowing specific deal terms to vary. CLAUSE 5 NOTE: The 'at the source' exclusion is critical. Some international territories permit the collection of performance royalties 'at source' by the production company (rather than by the PRO from the broadcaster). Publishers in the U.S. market should explicitly exclude this mechanism. CLAUSE 6 NOTE: The dramatic rights exclusion (grand rights) is often overlooked. Using a composition as part of a dramatic performance—a stage musical, an opera—requires a separate grand rights license and is not covered by standard sync licensing.</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5: PRINT LICENSING</w:t>
      </w:r>
    </w:p>
    <w:p>
      <w:pPr>
        <w:pStyle w:val="Heading2"/>
        <w:spacing w:after="180" w:before="360"/>
      </w:pPr>
      <w:r>
        <w:rPr>
          <w:rFonts w:ascii="Arial" w:cs="Arial" w:eastAsia="Arial" w:hAnsi="Arial"/>
          <w:b/>
          <w:bCs/>
          <w:color w:val="0D2137"/>
          <w:sz w:val="28"/>
          <w:szCs w:val="28"/>
        </w:rPr>
        <w:t xml:space="preserve">Overview</w:t>
      </w:r>
    </w:p>
    <w:p>
      <w:pPr>
        <w:spacing w:after="120" w:before="80"/>
        <w:jc w:val="both"/>
      </w:pPr>
      <w:r>
        <w:rPr>
          <w:rFonts w:ascii="Arial" w:cs="Arial" w:eastAsia="Arial" w:hAnsi="Arial"/>
          <w:color w:val="1A1A1A"/>
          <w:sz w:val="22"/>
          <w:szCs w:val="22"/>
        </w:rPr>
        <w:t xml:space="preserve">Print licensing encompasses the right to reproduce a musical composition in printed form—sheet music, folios, educational publications, lyric reprints in books and magazines, instructional materials, and similar uses. While print revenues have declined as a percentage of total music publishing income in the digital era, print licensing remains a meaningful revenue stream for commercially active compositions and an important component of comprehensive catalog administration.</w:t>
      </w:r>
    </w:p>
    <w:p>
      <w:pPr>
        <w:spacing w:after="120" w:before="80"/>
        <w:jc w:val="both"/>
      </w:pPr>
      <w:r>
        <w:rPr>
          <w:rFonts w:ascii="Arial" w:cs="Arial" w:eastAsia="Arial" w:hAnsi="Arial"/>
          <w:color w:val="1A1A1A"/>
          <w:sz w:val="22"/>
          <w:szCs w:val="22"/>
        </w:rPr>
        <w:t xml:space="preserve">The print right derives from the copyright owner's exclusive right to reproduce the copyrighted work in copies. Unlike mechanical and performance rights, there is no compulsory license for print reproduction of musical works. Print licenses are entirely negotiated between the publisher and the prospective licensee.</w:t>
      </w:r>
    </w:p>
    <w:p>
      <w:pPr>
        <w:pStyle w:val="Heading2"/>
        <w:spacing w:after="180" w:before="360"/>
      </w:pPr>
      <w:r>
        <w:rPr>
          <w:rFonts w:ascii="Arial" w:cs="Arial" w:eastAsia="Arial" w:hAnsi="Arial"/>
          <w:b/>
          <w:bCs/>
          <w:color w:val="0D2137"/>
          <w:sz w:val="28"/>
          <w:szCs w:val="28"/>
        </w:rPr>
        <w:t xml:space="preserve">Categories of Print Licenses</w:t>
      </w:r>
    </w:p>
    <w:p>
      <w:pPr>
        <w:pStyle w:val="Heading3"/>
        <w:spacing w:after="120" w:before="240"/>
      </w:pPr>
      <w:r>
        <w:rPr>
          <w:rFonts w:ascii="Arial" w:cs="Arial" w:eastAsia="Arial" w:hAnsi="Arial"/>
          <w:b/>
          <w:bCs/>
          <w:color w:val="4A4A4A"/>
          <w:sz w:val="24"/>
          <w:szCs w:val="24"/>
        </w:rPr>
        <w:t xml:space="preserve">Sheet Music and Folios</w:t>
      </w:r>
    </w:p>
    <w:p>
      <w:pPr>
        <w:spacing w:after="120" w:before="80"/>
        <w:jc w:val="both"/>
      </w:pPr>
      <w:r>
        <w:rPr>
          <w:rFonts w:ascii="Arial" w:cs="Arial" w:eastAsia="Arial" w:hAnsi="Arial"/>
          <w:color w:val="1A1A1A"/>
          <w:sz w:val="22"/>
          <w:szCs w:val="22"/>
        </w:rPr>
        <w:t xml:space="preserve">Sheet music licenses authorize the reproduction of a single composition in printed form for retail sale. Folio licenses authorize the reproduction of multiple compositions—by a single artist, in a genre compilation, or in a method book—in a single printed volume. Sheet music and folio licensing has historically been dominated by a small number of major print publishers (Hal Leonard, Alfred Music, Music Sales Group) who acquire print rights from music publishers either through direct licenses or through sub-publishing arrangements.</w:t>
      </w:r>
    </w:p>
    <w:p>
      <w:pPr>
        <w:spacing w:after="120" w:before="80"/>
        <w:jc w:val="both"/>
      </w:pPr>
      <w:r>
        <w:rPr>
          <w:rFonts w:ascii="Arial" w:cs="Arial" w:eastAsia="Arial" w:hAnsi="Arial"/>
          <w:color w:val="1A1A1A"/>
          <w:sz w:val="22"/>
          <w:szCs w:val="22"/>
        </w:rPr>
        <w:t xml:space="preserve">Royalty rates for sheet music typically range from 20% to 25% of the marked retail price of the printed edition. For folios, the royalty is typically prorated based on the number of compositions in the folio (e.g., a publisher whose compositions represent 10 of 20 compositions in a folio receives 10/20 of the total folio royalty). Minimum per-unit royalties are commonly negotiated to protect against below-cost retail pricing.</w:t>
      </w:r>
    </w:p>
    <w:p>
      <w:pPr>
        <w:pStyle w:val="Heading3"/>
        <w:spacing w:after="120" w:before="240"/>
      </w:pPr>
      <w:r>
        <w:rPr>
          <w:rFonts w:ascii="Arial" w:cs="Arial" w:eastAsia="Arial" w:hAnsi="Arial"/>
          <w:b/>
          <w:bCs/>
          <w:color w:val="4A4A4A"/>
          <w:sz w:val="24"/>
          <w:szCs w:val="24"/>
        </w:rPr>
        <w:t xml:space="preserve">Text and Magazine Print</w:t>
      </w:r>
    </w:p>
    <w:p>
      <w:pPr>
        <w:spacing w:after="120" w:before="80"/>
        <w:jc w:val="both"/>
      </w:pPr>
      <w:r>
        <w:rPr>
          <w:rFonts w:ascii="Arial" w:cs="Arial" w:eastAsia="Arial" w:hAnsi="Arial"/>
          <w:color w:val="1A1A1A"/>
          <w:sz w:val="22"/>
          <w:szCs w:val="22"/>
        </w:rPr>
        <w:t xml:space="preserve">Text print licenses authorize the reproduction of song lyrics in books, magazines, newspapers, liner notes, and similar publications. Lyric reprints are treated as reproductions of the literary work component of the musical composition and require a license from the copyright owner. The license fee is typically a flat fee based on the print run, the prominence of the use, and the commercial profile of the publication.</w:t>
      </w:r>
    </w:p>
    <w:p>
      <w:pPr>
        <w:spacing w:after="120" w:before="80"/>
        <w:jc w:val="both"/>
      </w:pPr>
      <w:r>
        <w:rPr>
          <w:rFonts w:ascii="Arial" w:cs="Arial" w:eastAsia="Arial" w:hAnsi="Arial"/>
          <w:color w:val="1A1A1A"/>
          <w:sz w:val="22"/>
          <w:szCs w:val="22"/>
        </w:rPr>
        <w:t xml:space="preserve">Online lyric reproduction—lyrics displayed on websites and apps—has been a significant area of licensing development. Following a series of infringement actions by the National Music Publishers' Association against unauthorized lyric sites, the major lyric platforms (Genius, AZLyrics, Musixmatch) have obtained or are in the process of obtaining licenses from publishers for lyric display rights. These licenses typically combine a per-stream or per-pageview royalty with an advance guarantee.</w:t>
      </w:r>
    </w:p>
    <w:p>
      <w:pPr>
        <w:spacing w:after="0" w:before="120"/>
      </w:pPr>
      <w:r>
        <w:t xml:space="preserve"/>
      </w:r>
    </w:p>
    <w:p>
      <w:pPr>
        <w:spacing w:after="80" w:before="240"/>
      </w:pPr>
      <w:r>
        <w:rPr>
          <w:rFonts w:ascii="Arial" w:cs="Arial" w:eastAsia="Arial" w:hAnsi="Arial"/>
          <w:b/>
          <w:bCs/>
          <w:color w:val="0D2137"/>
          <w:sz w:val="22"/>
          <w:szCs w:val="22"/>
          <w:u w:val="single"/>
        </w:rPr>
        <w:t xml:space="preserve">SHEET MUSIC LICENSE (WITH FOLIO RIGHTS)</w:t>
      </w:r>
    </w:p>
    <w:p>
      <w:pPr>
        <w:spacing w:after="80" w:before="80"/>
        <w:ind w:left="720"/>
      </w:pPr>
      <w:r>
        <w:rPr>
          <w:rFonts w:ascii="Courier New" w:cs="Courier New" w:eastAsia="Courier New" w:hAnsi="Courier New"/>
          <w:color w:val="1A1A1A"/>
          <w:sz w:val="20"/>
          <w:szCs w:val="20"/>
        </w:rPr>
        <w:t xml:space="preserve">This Sheet Music License Agreement ("Agreement") is entered into as of the date set forth below between MusiGod Publishing Administration ("Publisher") and _______________ ("Print Licensee").</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OF RIGHTS. </w:t>
      </w:r>
      <w:r>
        <w:rPr>
          <w:rFonts w:ascii="Courier New" w:cs="Courier New" w:eastAsia="Courier New" w:hAnsi="Courier New"/>
          <w:color w:val="1A1A1A"/>
          <w:sz w:val="20"/>
          <w:szCs w:val="20"/>
        </w:rPr>
        <w:t xml:space="preserve">Publisher grants to Print Licensee the non-exclusive right to print, publish, and sell sheet music and folio editions of the Composition(s) listed in Schedule A (the "Compositions") in the format(s) and configuration(s) specified in Schedule A, within the territory specified in Schedule A, during the term specified in Schedule A.</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ROYALTIES. </w:t>
      </w:r>
      <w:r>
        <w:rPr>
          <w:rFonts w:ascii="Courier New" w:cs="Courier New" w:eastAsia="Courier New" w:hAnsi="Courier New"/>
          <w:color w:val="1A1A1A"/>
          <w:sz w:val="20"/>
          <w:szCs w:val="20"/>
        </w:rPr>
        <w:t xml:space="preserve">Print Licensee shall pay Publisher a royalty of 20% of the suggested retail list price on all net copies sold and not returned. For folio editions, the royalty shall be prorated based on the ratio of Publisher's Compositions to the total number of compositions in the folio. Minimum per-copy royalties, where applicable, are set forth in Schedule A.</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ADVANCE. </w:t>
      </w:r>
      <w:r>
        <w:rPr>
          <w:rFonts w:ascii="Courier New" w:cs="Courier New" w:eastAsia="Courier New" w:hAnsi="Courier New"/>
          <w:color w:val="1A1A1A"/>
          <w:sz w:val="20"/>
          <w:szCs w:val="20"/>
        </w:rPr>
        <w:t xml:space="preserve">Upon execution of this Agreement, Print Licensee shall pay Publisher a non-refundable, recoupable advance in the amount set forth in Schedule A.</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ACCOUNTING. </w:t>
      </w:r>
      <w:r>
        <w:rPr>
          <w:rFonts w:ascii="Courier New" w:cs="Courier New" w:eastAsia="Courier New" w:hAnsi="Courier New"/>
          <w:color w:val="1A1A1A"/>
          <w:sz w:val="20"/>
          <w:szCs w:val="20"/>
        </w:rPr>
        <w:t xml:space="preserve">Print Licensee shall render statements of account and remit royalties due on a semi-annual basis within 60 days of the end of each accounting period. Each statement shall identify, by title, the number of copies printed, sold, returned, and held in inventory, together with the royalties due.</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QUALITY CONTROL. </w:t>
      </w:r>
      <w:r>
        <w:rPr>
          <w:rFonts w:ascii="Courier New" w:cs="Courier New" w:eastAsia="Courier New" w:hAnsi="Courier New"/>
          <w:color w:val="1A1A1A"/>
          <w:sz w:val="20"/>
          <w:szCs w:val="20"/>
        </w:rPr>
        <w:t xml:space="preserve">All printed editions shall be subject to Publisher's prior written approval of the arrangement, engraving, and layout. Print Licensee shall submit proofs to Publisher at least 30 days prior to publication.</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COPYRIGHT NOTICE. </w:t>
      </w:r>
      <w:r>
        <w:rPr>
          <w:rFonts w:ascii="Courier New" w:cs="Courier New" w:eastAsia="Courier New" w:hAnsi="Courier New"/>
          <w:color w:val="1A1A1A"/>
          <w:sz w:val="20"/>
          <w:szCs w:val="20"/>
        </w:rPr>
        <w:t xml:space="preserve">All printed editions shall bear a proper copyright notice in the name of the copyright owner(s) as specified by Publisher, in the form and location specified by Publisher.</w:t>
      </w:r>
    </w:p>
    <w:p>
      <w:pPr>
        <w:spacing w:after="80" w:before="120"/>
        <w:ind w:left="360"/>
        <w:jc w:val="both"/>
      </w:pPr>
      <w:r>
        <w:rPr>
          <w:rFonts w:ascii="Courier New" w:cs="Courier New" w:eastAsia="Courier New" w:hAnsi="Courier New"/>
          <w:b/>
          <w:bCs/>
          <w:sz w:val="20"/>
          <w:szCs w:val="20"/>
        </w:rPr>
        <w:t xml:space="preserve">7. </w:t>
      </w:r>
      <w:r>
        <w:rPr>
          <w:rFonts w:ascii="Courier New" w:cs="Courier New" w:eastAsia="Courier New" w:hAnsi="Courier New"/>
          <w:b/>
          <w:bCs/>
          <w:sz w:val="20"/>
          <w:szCs w:val="20"/>
        </w:rPr>
        <w:t xml:space="preserve">REVERSION. </w:t>
      </w:r>
      <w:r>
        <w:rPr>
          <w:rFonts w:ascii="Courier New" w:cs="Courier New" w:eastAsia="Courier New" w:hAnsi="Courier New"/>
          <w:color w:val="1A1A1A"/>
          <w:sz w:val="20"/>
          <w:szCs w:val="20"/>
        </w:rPr>
        <w:t xml:space="preserve">In the event Print Licensee fails to keep any licensed Composition in print and available for sale, Publisher may, upon 90 days written notice, terminate the license as to that Composition.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The reversion clause (Clause 7) is an essential publisher protection in print licensing. Print editions can fall out of print as music trends change while the license technically remains in force. Without a reversion provision, the publisher is unable to re-license the print rights to a more active publisher. The 90-day notice cure period is standard; some publishers negotiate a shorter window of 60 days.</w:t>
            </w:r>
          </w:p>
        </w:tc>
      </w:tr>
    </w:tbl>
    <w:p>
      <w:pPr>
        <w:spacing w:after="0" w:before="120"/>
      </w:pPr>
      <w:r>
        <w:t xml:space="preserve"/>
      </w:r>
    </w:p>
    <w:p>
      <w:pPr>
        <w:spacing w:after="80" w:before="240"/>
      </w:pPr>
      <w:r>
        <w:rPr>
          <w:rFonts w:ascii="Arial" w:cs="Arial" w:eastAsia="Arial" w:hAnsi="Arial"/>
          <w:b/>
          <w:bCs/>
          <w:color w:val="0D2137"/>
          <w:sz w:val="22"/>
          <w:szCs w:val="22"/>
          <w:u w:val="single"/>
        </w:rPr>
        <w:t xml:space="preserve">TEXT AND MAGAZINE PRINT LICENSE (ONE-TIME FEE)</w:t>
      </w:r>
    </w:p>
    <w:p>
      <w:pPr>
        <w:spacing w:after="80" w:before="80"/>
        <w:ind w:left="720"/>
      </w:pPr>
      <w:r>
        <w:rPr>
          <w:rFonts w:ascii="Courier New" w:cs="Courier New" w:eastAsia="Courier New" w:hAnsi="Courier New"/>
          <w:color w:val="1A1A1A"/>
          <w:sz w:val="20"/>
          <w:szCs w:val="20"/>
        </w:rPr>
        <w:t xml:space="preserve">This Text Print License is granted by MusiGod Publishing Administration ("Publisher") to _______________ ("Licensee") as of the date indicated below.</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w:t>
      </w:r>
      <w:r>
        <w:rPr>
          <w:rFonts w:ascii="Courier New" w:cs="Courier New" w:eastAsia="Courier New" w:hAnsi="Courier New"/>
          <w:color w:val="1A1A1A"/>
          <w:sz w:val="20"/>
          <w:szCs w:val="20"/>
        </w:rPr>
        <w:t xml:space="preserve">Publisher grants to Licensee a one-time, non-exclusive license to reproduce the lyrics of the Composition specified in Schedule A in the publication identified in Schedule A (the "Publication"), in the form and quantity specified in Schedule A.</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FEE. </w:t>
      </w:r>
      <w:r>
        <w:rPr>
          <w:rFonts w:ascii="Courier New" w:cs="Courier New" w:eastAsia="Courier New" w:hAnsi="Courier New"/>
          <w:color w:val="1A1A1A"/>
          <w:sz w:val="20"/>
          <w:szCs w:val="20"/>
        </w:rPr>
        <w:t xml:space="preserve">In consideration for the rights granted herein, Licensee shall pay Publisher the one-time license fee set forth in Schedule A, payable upon execution hereof.</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CREDIT. </w:t>
      </w:r>
      <w:r>
        <w:rPr>
          <w:rFonts w:ascii="Courier New" w:cs="Courier New" w:eastAsia="Courier New" w:hAnsi="Courier New"/>
          <w:color w:val="1A1A1A"/>
          <w:sz w:val="20"/>
          <w:szCs w:val="20"/>
        </w:rPr>
        <w:t xml:space="preserve">The lyrics shall be accompanied by the following credit line: "[Composition Title] — Words and Music by [Songwriter(s)] — Copyright © [Year] [Copyright Owner(s)]. All Rights Reserved. Used by Permission."</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LIMITATION. </w:t>
      </w:r>
      <w:r>
        <w:rPr>
          <w:rFonts w:ascii="Courier New" w:cs="Courier New" w:eastAsia="Courier New" w:hAnsi="Courier New"/>
          <w:color w:val="1A1A1A"/>
          <w:sz w:val="20"/>
          <w:szCs w:val="20"/>
        </w:rPr>
        <w:t xml:space="preserve">This license is limited to the specific publication, edition, and print run identified in Schedule A. Additional printings or editions require a new license.</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NO ALTERATIONS. </w:t>
      </w:r>
      <w:r>
        <w:rPr>
          <w:rFonts w:ascii="Courier New" w:cs="Courier New" w:eastAsia="Courier New" w:hAnsi="Courier New"/>
          <w:color w:val="1A1A1A"/>
          <w:sz w:val="20"/>
          <w:szCs w:val="20"/>
        </w:rPr>
        <w:t xml:space="preserve">Licensee shall not alter, adapt, or translate the lyrics without prior written consent of Publisher.</w:t>
      </w:r>
    </w:p>
    <w:p>
      <w:pPr>
        <w:spacing w:after="0" w:before="120"/>
      </w:pPr>
      <w:r>
        <w:t xml:space="preserve"/>
      </w:r>
    </w:p>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6: SONGWRITER AGREEMENTS</w:t>
      </w:r>
    </w:p>
    <w:p>
      <w:pPr>
        <w:pStyle w:val="Heading2"/>
        <w:spacing w:after="180" w:before="360"/>
      </w:pPr>
      <w:r>
        <w:rPr>
          <w:rFonts w:ascii="Arial" w:cs="Arial" w:eastAsia="Arial" w:hAnsi="Arial"/>
          <w:b/>
          <w:bCs/>
          <w:color w:val="0D2137"/>
          <w:sz w:val="28"/>
          <w:szCs w:val="28"/>
        </w:rPr>
        <w:t xml:space="preserve">Why Would a Songwriter Enter into These Agreements?</w:t>
      </w:r>
    </w:p>
    <w:p>
      <w:pPr>
        <w:spacing w:after="120" w:before="80"/>
        <w:jc w:val="both"/>
      </w:pPr>
      <w:r>
        <w:rPr>
          <w:rFonts w:ascii="Arial" w:cs="Arial" w:eastAsia="Arial" w:hAnsi="Arial"/>
          <w:color w:val="1A1A1A"/>
          <w:sz w:val="22"/>
          <w:szCs w:val="22"/>
        </w:rPr>
        <w:t xml:space="preserve">The songwriter agreement—whether a full publishing agreement, a co-publishing agreement, or an administration agreement—is the foundational commercial relationship in music publishing. It defines the economic terms under which a songwriter's creative output is exploited commercially and the rights the publisher acquires in exchange for its services and capital. For executive management, understanding these agreements is essential not only for structuring MusiGod's own agreements but for evaluating the agreements that govern catalog compositions being acquired or administered.</w:t>
      </w:r>
    </w:p>
    <w:p>
      <w:pPr>
        <w:spacing w:after="120" w:before="80"/>
        <w:jc w:val="both"/>
      </w:pPr>
      <w:r>
        <w:rPr>
          <w:rFonts w:ascii="Arial" w:cs="Arial" w:eastAsia="Arial" w:hAnsi="Arial"/>
          <w:color w:val="1A1A1A"/>
          <w:sz w:val="22"/>
          <w:szCs w:val="22"/>
        </w:rPr>
        <w:t xml:space="preserve">Songwriters enter publishing agreements for several reasons: access to the publisher's promotional and licensing network, which can generate placements and sync opportunities that the songwriter cannot independently access; administrative services, including copyright registration, royalty collection, and catalog management; financial advances against future royalty earnings; and the credentialing value of a relationship with a reputable publisher. The specific terms of the agreement determine whether the songwriter is well-served by the relationship or simply well-managed.</w:t>
      </w:r>
    </w:p>
    <w:p>
      <w:pPr>
        <w:pStyle w:val="Heading2"/>
        <w:spacing w:after="180" w:before="360"/>
      </w:pPr>
      <w:r>
        <w:rPr>
          <w:rFonts w:ascii="Arial" w:cs="Arial" w:eastAsia="Arial" w:hAnsi="Arial"/>
          <w:b/>
          <w:bCs/>
          <w:color w:val="0D2137"/>
          <w:sz w:val="28"/>
          <w:szCs w:val="28"/>
        </w:rPr>
        <w:t xml:space="preserve">Assignment of Rights</w:t>
      </w:r>
    </w:p>
    <w:p>
      <w:pPr>
        <w:spacing w:after="120" w:before="80"/>
        <w:jc w:val="both"/>
      </w:pPr>
      <w:r>
        <w:rPr>
          <w:rFonts w:ascii="Arial" w:cs="Arial" w:eastAsia="Arial" w:hAnsi="Arial"/>
          <w:color w:val="1A1A1A"/>
          <w:sz w:val="22"/>
          <w:szCs w:val="22"/>
        </w:rPr>
        <w:t xml:space="preserve">A full publishing agreement typically includes an assignment of copyright: the songwriter assigns to the publisher all right, title, and interest in and to all compositions created during the term of the agreement. This assignment is the commercial foundation of the publisher's business—it is the basis on which the publisher can license compositions, register copyrights in its name, and collect royalties.</w:t>
      </w:r>
    </w:p>
    <w:p>
      <w:pPr>
        <w:spacing w:after="120" w:before="80"/>
        <w:jc w:val="both"/>
      </w:pPr>
      <w:r>
        <w:rPr>
          <w:rFonts w:ascii="Arial" w:cs="Arial" w:eastAsia="Arial" w:hAnsi="Arial"/>
          <w:color w:val="1A1A1A"/>
          <w:sz w:val="22"/>
          <w:szCs w:val="22"/>
        </w:rPr>
        <w:t xml:space="preserve">The assignment in a full publishing deal is typically for the full copyright term—life of the author plus 70 years—subject to the songwriter's statutory termination right under Section 203. A co-publishing agreement, by contrast, typically involves a partial assignment: the songwriter assigns some percentage of the copyright (typically 50%) to the publisher while retaining the balance in a songwriter-owned publishing entity.</w:t>
      </w:r>
    </w:p>
    <w:p>
      <w:pPr>
        <w:pStyle w:val="Heading2"/>
        <w:spacing w:after="180" w:before="360"/>
      </w:pPr>
      <w:r>
        <w:rPr>
          <w:rFonts w:ascii="Arial" w:cs="Arial" w:eastAsia="Arial" w:hAnsi="Arial"/>
          <w:b/>
          <w:bCs/>
          <w:color w:val="0D2137"/>
          <w:sz w:val="28"/>
          <w:szCs w:val="28"/>
        </w:rPr>
        <w:t xml:space="preserve">Term of Services</w:t>
      </w:r>
    </w:p>
    <w:p>
      <w:pPr>
        <w:spacing w:after="120" w:before="80"/>
        <w:jc w:val="both"/>
      </w:pPr>
      <w:r>
        <w:rPr>
          <w:rFonts w:ascii="Arial" w:cs="Arial" w:eastAsia="Arial" w:hAnsi="Arial"/>
          <w:color w:val="1A1A1A"/>
          <w:sz w:val="22"/>
          <w:szCs w:val="22"/>
        </w:rPr>
        <w:t xml:space="preserve">The term of a songwriter agreement defines the period during which the songwriter is obligated to deliver their creative output exclusively to the publisher. Standard terms are structured as an initial period (typically one year) followed by a series of option periods (typically four additional one-year periods), for a potential total duration of five years. Each option period is exercisable by the publisher—not the songwriter—based on the songwriter's fulfillment of the minimum delivery commitment for the prior period.</w:t>
      </w:r>
    </w:p>
    <w:p>
      <w:pPr>
        <w:spacing w:after="120" w:before="80"/>
        <w:jc w:val="both"/>
      </w:pPr>
      <w:r>
        <w:rPr>
          <w:rFonts w:ascii="Arial" w:cs="Arial" w:eastAsia="Arial" w:hAnsi="Arial"/>
          <w:color w:val="1A1A1A"/>
          <w:sz w:val="22"/>
          <w:szCs w:val="22"/>
        </w:rPr>
        <w:t xml:space="preserve">The publisher's unilateral option to extend the agreement is a significant point of leverage that has attracted regulatory and legislative scrutiny. In practice, the term is effectively capped by the songwriter's delivery of the minimum commitment, which the publisher may refuse to accept as fulfilled if the compositions do not meet commercial quality standards—a subjective determination that has been the source of considerable litigation.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1: </w:t>
            </w:r>
            <w:r>
              <w:rPr>
                <w:rFonts w:ascii="Arial" w:cs="Arial" w:eastAsia="Arial" w:hAnsi="Arial"/>
                <w:b/>
                <w:bCs/>
                <w:color w:val="FFFFFF"/>
                <w:sz w:val="22"/>
                <w:szCs w:val="22"/>
              </w:rPr>
              <w:t xml:space="preserve">SONGWRITER AGREEMENT — CONTROLLED COMPOSITION CONFLICT</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songwriter signed to a mid-size independent publisher is also a signed recording artist with a major label. The label's recording agreement includes a standard controlled composition clause reducing mechanical royalties on artist-written compositions to 75% of the statutory rate.</w:t>
      </w:r>
    </w:p>
    <w:p>
      <w:pPr>
        <w:spacing w:after="120" w:before="80"/>
        <w:jc w:val="both"/>
      </w:pPr>
      <w:r>
        <w:rPr>
          <w:rFonts w:ascii="Arial" w:cs="Arial" w:eastAsia="Arial" w:hAnsi="Arial"/>
          <w:color w:val="1A1A1A"/>
          <w:sz w:val="22"/>
          <w:szCs w:val="22"/>
        </w:rPr>
        <w:t xml:space="preserve">Issue: The songwriter's publishing agreement grants the publisher 100% of the mechanical royalties collected on compositions written during the term. The controlled composition clause means the label will only pay 75% of statutory—but the publishing agreement was negotiated based on an assumption of 100% statutory rate collection.</w:t>
      </w:r>
    </w:p>
    <w:p>
      <w:pPr>
        <w:spacing w:after="120" w:before="80"/>
        <w:jc w:val="both"/>
      </w:pPr>
      <w:r>
        <w:rPr>
          <w:rFonts w:ascii="Arial" w:cs="Arial" w:eastAsia="Arial" w:hAnsi="Arial"/>
          <w:color w:val="1A1A1A"/>
          <w:sz w:val="22"/>
          <w:szCs w:val="22"/>
        </w:rPr>
        <w:t xml:space="preserve">Analysis: The conflict arises because the songwriter's publishing agreement and recording agreement were negotiated at different times with different parties. Neither party to the publishing agreement had control over the controlled composition provision in the recording agreement. The publisher is contractually entitled to receive its share of whatever mechanicals are collected, but the total pool is reduced by the controlled composition clause.</w:t>
      </w:r>
    </w:p>
    <w:p>
      <w:pPr>
        <w:spacing w:after="120" w:before="80"/>
        <w:jc w:val="both"/>
      </w:pPr>
      <w:r>
        <w:rPr>
          <w:rFonts w:ascii="Arial" w:cs="Arial" w:eastAsia="Arial" w:hAnsi="Arial"/>
          <w:color w:val="1A1A1A"/>
          <w:sz w:val="22"/>
          <w:szCs w:val="22"/>
        </w:rPr>
        <w:t xml:space="preserve">Resolution: On renegotiation of the publishing agreement, the publisher agrees to adjust its royalty split to reflect the realities of the controlled composition structure. The agreement is amended to specify that mechanical royalties are calculated based on amounts actually received rather than amounts that would have been received at the full statutory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Controlled composition conflicts between recording agreements and publishing agreements are commonplace and represent a systemic structural problem in the industry. Publishing administrators must understand the full contractual landscape for each songwriter client and ensure that royalty calculation provisions in publishing agreements are calibrated to actual income—not theoretical income at statutory rates that may never be achieved.</w:t>
            </w:r>
          </w:p>
        </w:tc>
      </w:tr>
    </w:tbl>
    <w:p>
      <w:pPr>
        <w:pStyle w:val="Heading2"/>
        <w:spacing w:after="180" w:before="360"/>
      </w:pPr>
      <w:r>
        <w:rPr>
          <w:rFonts w:ascii="Arial" w:cs="Arial" w:eastAsia="Arial" w:hAnsi="Arial"/>
          <w:b/>
          <w:bCs/>
          <w:color w:val="0D2137"/>
          <w:sz w:val="28"/>
          <w:szCs w:val="28"/>
        </w:rPr>
        <w:t xml:space="preserve">Copyright Ownership</w:t>
      </w:r>
    </w:p>
    <w:p>
      <w:pPr>
        <w:spacing w:after="120" w:before="80"/>
        <w:jc w:val="both"/>
      </w:pPr>
      <w:r>
        <w:rPr>
          <w:rFonts w:ascii="Arial" w:cs="Arial" w:eastAsia="Arial" w:hAnsi="Arial"/>
          <w:color w:val="1A1A1A"/>
          <w:sz w:val="22"/>
          <w:szCs w:val="22"/>
        </w:rPr>
        <w:t xml:space="preserve">Copyright ownership provisions in songwriter agreements are among the most heavily negotiated and most consequential provisions in the deal. Full publishing agreements typically vest copyright ownership in the publisher for the full copyright term. Co-publishing agreements create a divided ownership structure in which the songwriter retains a percentage of the copyright in their own publishing entity. Administration agreements, discussed in Chapter 7, leave copyright ownership entirely with the songwriter.</w:t>
      </w:r>
    </w:p>
    <w:p>
      <w:pPr>
        <w:spacing w:after="120" w:before="80"/>
        <w:jc w:val="both"/>
      </w:pPr>
      <w:r>
        <w:rPr>
          <w:rFonts w:ascii="Arial" w:cs="Arial" w:eastAsia="Arial" w:hAnsi="Arial"/>
          <w:color w:val="1A1A1A"/>
          <w:sz w:val="22"/>
          <w:szCs w:val="22"/>
        </w:rPr>
        <w:t xml:space="preserve">The MusiGod model—publishing administration—is distinct from full publishing in a critical respect: MusiGod does not acquire copyright ownership in the compositions it administers. Artists retain all rights. This model aligns MusiGod's commercial interests with the artist's long-term interests and removes the conflict of interest inherent in publisher-as-copyright-owner structures. The commercial viability of this model depends on the administration fee and subscription revenue being sufficient to sustain operations and generate acceptable returns.</w:t>
      </w:r>
    </w:p>
    <w:p>
      <w:pPr>
        <w:pStyle w:val="Heading2"/>
        <w:spacing w:after="180" w:before="360"/>
      </w:pPr>
      <w:r>
        <w:rPr>
          <w:rFonts w:ascii="Arial" w:cs="Arial" w:eastAsia="Arial" w:hAnsi="Arial"/>
          <w:b/>
          <w:bCs/>
          <w:color w:val="0D2137"/>
          <w:sz w:val="28"/>
          <w:szCs w:val="28"/>
        </w:rPr>
        <w:t xml:space="preserve">Royalties to the Writer</w:t>
      </w:r>
    </w:p>
    <w:p>
      <w:pPr>
        <w:spacing w:after="120" w:before="80"/>
        <w:jc w:val="both"/>
      </w:pPr>
      <w:r>
        <w:rPr>
          <w:rFonts w:ascii="Arial" w:cs="Arial" w:eastAsia="Arial" w:hAnsi="Arial"/>
          <w:color w:val="1A1A1A"/>
          <w:sz w:val="22"/>
          <w:szCs w:val="22"/>
        </w:rPr>
        <w:t xml:space="preserve">Royalty provisions define the songwriter's economic interest in the commercialization of their compositions under the publishing agreement. In a full publishing deal, the standard writer's royalty is 50% of net publisher's receipts from mechanical, synchronization, and other exploitation. This leaves the publisher with 50% of the publisher's share—the so-called full publisher's share.</w:t>
      </w:r>
    </w:p>
    <w:p>
      <w:pPr>
        <w:spacing w:after="120" w:before="80"/>
        <w:jc w:val="both"/>
      </w:pPr>
      <w:r>
        <w:rPr>
          <w:rFonts w:ascii="Arial" w:cs="Arial" w:eastAsia="Arial" w:hAnsi="Arial"/>
          <w:color w:val="1A1A1A"/>
          <w:sz w:val="22"/>
          <w:szCs w:val="22"/>
        </w:rPr>
        <w:t xml:space="preserve">In a co-publishing deal, the songwriter typically receives their 50% writer's share directly from the PRO, plus 50% of the publisher's share attributable to the co-publishing entity they control—for an effective total participation of 75% of all income. The publisher retains 25%.</w:t>
      </w:r>
    </w:p>
    <w:p>
      <w:pPr>
        <w:spacing w:after="120" w:before="80"/>
        <w:jc w:val="both"/>
      </w:pPr>
      <w:r>
        <w:rPr>
          <w:rFonts w:ascii="Arial" w:cs="Arial" w:eastAsia="Arial" w:hAnsi="Arial"/>
          <w:color w:val="1A1A1A"/>
          <w:sz w:val="22"/>
          <w:szCs w:val="22"/>
        </w:rPr>
        <w:t xml:space="preserve">Under the MusiGod administration model, the artist receives 85% of all gross receipts; MusiGod retains a 15% administration fee. This structure is significantly more favorable to the artist than any of the traditional publishing models described above.</w:t>
      </w:r>
    </w:p>
    <w:p>
      <w:pPr>
        <w:pStyle w:val="Heading2"/>
        <w:spacing w:after="180" w:before="360"/>
      </w:pPr>
      <w:r>
        <w:rPr>
          <w:rFonts w:ascii="Arial" w:cs="Arial" w:eastAsia="Arial" w:hAnsi="Arial"/>
          <w:b/>
          <w:bCs/>
          <w:color w:val="0D2137"/>
          <w:sz w:val="28"/>
          <w:szCs w:val="28"/>
        </w:rPr>
        <w:t xml:space="preserve">Split Sheets</w:t>
      </w:r>
    </w:p>
    <w:p>
      <w:pPr>
        <w:spacing w:after="120" w:before="80"/>
        <w:jc w:val="both"/>
      </w:pPr>
      <w:r>
        <w:rPr>
          <w:rFonts w:ascii="Arial" w:cs="Arial" w:eastAsia="Arial" w:hAnsi="Arial"/>
          <w:color w:val="1A1A1A"/>
          <w:sz w:val="22"/>
          <w:szCs w:val="22"/>
        </w:rPr>
        <w:t xml:space="preserve">A split sheet is a document that memorializes the agreed-upon ownership percentages among the co-writers of a jointly authored composition. It is one of the most important and most frequently neglected administrative documents in music publishing. Disputes over co-writer credits and ownership splits are among the most common and most costly disputes in the music industry.</w:t>
      </w:r>
    </w:p>
    <w:p>
      <w:pPr>
        <w:spacing w:after="120" w:before="80"/>
        <w:jc w:val="both"/>
      </w:pPr>
      <w:r>
        <w:rPr>
          <w:rFonts w:ascii="Arial" w:cs="Arial" w:eastAsia="Arial" w:hAnsi="Arial"/>
          <w:color w:val="1A1A1A"/>
          <w:sz w:val="22"/>
          <w:szCs w:val="22"/>
        </w:rPr>
        <w:t xml:space="preserve">A split sheet should be executed contemporaneously with the creation of the composition—ideally on the day of the writing session. It should identify: the composition title, all co-writers, each co-writer's ownership percentage, each co-writer's publisher and publishing entity, the date of creation, and signatures of all co-writers.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SPLIT SHEET PROTOCOL</w:t>
            </w:r>
          </w:p>
          <w:p>
            <w:pPr>
              <w:spacing w:before="60"/>
              <w:jc w:val="both"/>
            </w:pPr>
            <w:r>
              <w:rPr>
                <w:rFonts w:ascii="Arial" w:cs="Arial" w:eastAsia="Arial" w:hAnsi="Arial"/>
                <w:i/>
                <w:iCs/>
                <w:color w:val="1A1A1A"/>
                <w:sz w:val="21"/>
                <w:szCs w:val="21"/>
              </w:rPr>
              <w:t xml:space="preserve">MusiGod's administration platform should require the upload and validation of a signed split sheet for every composition prior to registration with PROs or the MLC. Compositions without executed split sheets represent legal and financial risk: any co-writer who disputes the agreed splits can block licensing, freeze royalty distributions, and initiate costly litigation. The cost of capturing this documentation at the point of creation is trivially small relative to the cost of resolving a split dispute years later.</w:t>
            </w:r>
          </w:p>
        </w:tc>
      </w:tr>
    </w:tbl>
    <w:p>
      <w:pPr>
        <w:pStyle w:val="Heading2"/>
        <w:spacing w:after="180" w:before="360"/>
      </w:pPr>
      <w:r>
        <w:rPr>
          <w:rFonts w:ascii="Arial" w:cs="Arial" w:eastAsia="Arial" w:hAnsi="Arial"/>
          <w:b/>
          <w:bCs/>
          <w:color w:val="0D2137"/>
          <w:sz w:val="28"/>
          <w:szCs w:val="28"/>
        </w:rPr>
        <w:t xml:space="preserve">Advances</w:t>
      </w:r>
    </w:p>
    <w:p>
      <w:pPr>
        <w:spacing w:after="120" w:before="80"/>
        <w:jc w:val="both"/>
      </w:pPr>
      <w:r>
        <w:rPr>
          <w:rFonts w:ascii="Arial" w:cs="Arial" w:eastAsia="Arial" w:hAnsi="Arial"/>
          <w:color w:val="1A1A1A"/>
          <w:sz w:val="22"/>
          <w:szCs w:val="22"/>
        </w:rPr>
        <w:t xml:space="preserve">An advance is a payment made by the publisher to the songwriter against future royalty earnings. Advances are recoupable but not refundable: if sufficient royalties are earned, the advance is recouped from those royalties; if the compositions do not generate sufficient royalties, the advance is not repayable by the songwriter. The non-refundable nature of advances means the publisher bears the financial risk of the creative investment.</w:t>
      </w:r>
    </w:p>
    <w:p>
      <w:pPr>
        <w:spacing w:after="120" w:before="80"/>
        <w:jc w:val="both"/>
      </w:pPr>
      <w:r>
        <w:rPr>
          <w:rFonts w:ascii="Arial" w:cs="Arial" w:eastAsia="Arial" w:hAnsi="Arial"/>
          <w:color w:val="1A1A1A"/>
          <w:sz w:val="22"/>
          <w:szCs w:val="22"/>
        </w:rPr>
        <w:t xml:space="preserve">Advance amounts in full publishing deals are typically calculated as a multiple of the songwriter's historical earnings—commonly one to two times the songwriter's average annual royalty income over the preceding two years. For a developing songwriter with no historical earnings, advances are typically modest. For an established songwriter with a demonstrated track record, advances can range from tens of thousands to millions of dollars.</w:t>
      </w:r>
    </w:p>
    <w:p>
      <w:pPr>
        <w:spacing w:after="120" w:before="80"/>
        <w:jc w:val="both"/>
      </w:pPr>
      <w:r>
        <w:rPr>
          <w:rFonts w:ascii="Arial" w:cs="Arial" w:eastAsia="Arial" w:hAnsi="Arial"/>
          <w:color w:val="1A1A1A"/>
          <w:sz w:val="22"/>
          <w:szCs w:val="22"/>
        </w:rPr>
        <w:t xml:space="preserve">In MusiGod's administration model, advances are not a standard component of the service offering. The administration model is fee-for-service, not capital-at-risk. However, MusiGod may structure advance-like arrangements in specific cases where retroactive recovery opportunities are sufficiently substantial to warrant an upfront advance against anticipated recovery income.</w:t>
      </w:r>
    </w:p>
    <w:p>
      <w:pPr>
        <w:spacing w:after="0" w:before="120"/>
      </w:pPr>
      <w:r>
        <w:t xml:space="preserve"/>
      </w:r>
    </w:p>
    <w:p>
      <w:pPr>
        <w:spacing w:after="80" w:before="240"/>
      </w:pPr>
      <w:r>
        <w:rPr>
          <w:rFonts w:ascii="Arial" w:cs="Arial" w:eastAsia="Arial" w:hAnsi="Arial"/>
          <w:b/>
          <w:bCs/>
          <w:color w:val="0D2137"/>
          <w:sz w:val="22"/>
          <w:szCs w:val="22"/>
          <w:u w:val="single"/>
        </w:rPr>
        <w:t xml:space="preserve">SONGWRITER'S CONTRACT — INDIVIDUAL COMPOSITION</w:t>
      </w:r>
    </w:p>
    <w:p>
      <w:pPr>
        <w:spacing w:after="80" w:before="80"/>
        <w:ind w:left="720"/>
      </w:pPr>
      <w:r>
        <w:rPr>
          <w:rFonts w:ascii="Courier New" w:cs="Courier New" w:eastAsia="Courier New" w:hAnsi="Courier New"/>
          <w:color w:val="1A1A1A"/>
          <w:sz w:val="20"/>
          <w:szCs w:val="20"/>
        </w:rPr>
        <w:t xml:space="preserve">This Songwriter's Agreement ("Agreement") is entered into as of _______________ between _______________ ("Songwriter") and MusiGod Publishing Administration ("Publisher").</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OF RIGHTS FOR ADMINISTRATION. </w:t>
      </w:r>
      <w:r>
        <w:rPr>
          <w:rFonts w:ascii="Courier New" w:cs="Courier New" w:eastAsia="Courier New" w:hAnsi="Courier New"/>
          <w:color w:val="1A1A1A"/>
          <w:sz w:val="20"/>
          <w:szCs w:val="20"/>
        </w:rPr>
        <w:t xml:space="preserve">Songwriter hereby appoints Publisher as the exclusive administrator of the musical composition identified in Schedule A (the "Composition") throughout the Territory for the Term, with full authority to register, license, collect, and account for all income derived from the exploitation of the Composition on Songwriter's behalf. Songwriter retains all copyright ownership in the Composition.</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TERM AND TERRITORY. </w:t>
      </w:r>
      <w:r>
        <w:rPr>
          <w:rFonts w:ascii="Courier New" w:cs="Courier New" w:eastAsia="Courier New" w:hAnsi="Courier New"/>
          <w:color w:val="1A1A1A"/>
          <w:sz w:val="20"/>
          <w:szCs w:val="20"/>
        </w:rPr>
        <w:t xml:space="preserve">The Term of this Agreement shall be ___ years commencing on the date hereof. The Territory is worldwide.</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ADMINISTRATION FEE. </w:t>
      </w:r>
      <w:r>
        <w:rPr>
          <w:rFonts w:ascii="Courier New" w:cs="Courier New" w:eastAsia="Courier New" w:hAnsi="Courier New"/>
          <w:color w:val="1A1A1A"/>
          <w:sz w:val="20"/>
          <w:szCs w:val="20"/>
        </w:rPr>
        <w:t xml:space="preserve">In consideration for the services provided hereunder, Publisher shall retain 15% of all Gross Receipts derived from the exploitation of the Composition. Songwriter shall receive the remaining 85% of Gross Receipts. 'Gross Receipts' means all income received by Publisher in connection with the Composition, before deduction of any foreign collection charges, sub-publisher fees, or other third-party deductions, which shall be disclosed to Songwriter on each accounting statement.</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ACCOUNTING. </w:t>
      </w:r>
      <w:r>
        <w:rPr>
          <w:rFonts w:ascii="Courier New" w:cs="Courier New" w:eastAsia="Courier New" w:hAnsi="Courier New"/>
          <w:color w:val="1A1A1A"/>
          <w:sz w:val="20"/>
          <w:szCs w:val="20"/>
        </w:rPr>
        <w:t xml:space="preserve">Publisher shall render statements of account and remit net amounts due to Songwriter quarterly, within 60 days of the close of each calendar quarter. Each statement shall itemize income received by source, applicable deductions, and the net amount due.</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SONGWRITER APPROVALS. </w:t>
      </w:r>
      <w:r>
        <w:rPr>
          <w:rFonts w:ascii="Courier New" w:cs="Courier New" w:eastAsia="Courier New" w:hAnsi="Courier New"/>
          <w:color w:val="1A1A1A"/>
          <w:sz w:val="20"/>
          <w:szCs w:val="20"/>
        </w:rPr>
        <w:t xml:space="preserve">Songwriter retains the right of prior written approval over the following categories of use: (a) synchronization in advertising; (b) any use that alters the original lyrics; (c) any use as a dramatic performance; and (d) any other use identified in Schedule A. Publisher shall not grant any license for such uses without Songwriter's prior written consent.</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COPYRIGHT REGISTRATION. </w:t>
      </w:r>
      <w:r>
        <w:rPr>
          <w:rFonts w:ascii="Courier New" w:cs="Courier New" w:eastAsia="Courier New" w:hAnsi="Courier New"/>
          <w:color w:val="1A1A1A"/>
          <w:sz w:val="20"/>
          <w:szCs w:val="20"/>
        </w:rPr>
        <w:t xml:space="preserve">Publisher shall register the Composition with the U.S. Copyright Office and with the applicable Performing Rights Organizations within 60 days of the date hereof, at Publisher's expense.</w:t>
      </w:r>
    </w:p>
    <w:p>
      <w:pPr>
        <w:spacing w:after="80" w:before="120"/>
        <w:ind w:left="360"/>
        <w:jc w:val="both"/>
      </w:pPr>
      <w:r>
        <w:rPr>
          <w:rFonts w:ascii="Courier New" w:cs="Courier New" w:eastAsia="Courier New" w:hAnsi="Courier New"/>
          <w:b/>
          <w:bCs/>
          <w:sz w:val="20"/>
          <w:szCs w:val="20"/>
        </w:rPr>
        <w:t xml:space="preserve">7. </w:t>
      </w:r>
      <w:r>
        <w:rPr>
          <w:rFonts w:ascii="Courier New" w:cs="Courier New" w:eastAsia="Courier New" w:hAnsi="Courier New"/>
          <w:b/>
          <w:bCs/>
          <w:sz w:val="20"/>
          <w:szCs w:val="20"/>
        </w:rPr>
        <w:t xml:space="preserve">REVERSION. </w:t>
      </w:r>
      <w:r>
        <w:rPr>
          <w:rFonts w:ascii="Courier New" w:cs="Courier New" w:eastAsia="Courier New" w:hAnsi="Courier New"/>
          <w:color w:val="1A1A1A"/>
          <w:sz w:val="20"/>
          <w:szCs w:val="20"/>
        </w:rPr>
        <w:t xml:space="preserve">In the event Publisher fails to render any accounting statement or payment due hereunder within 60 days of the applicable due date, and such failure remains uncured for 30 days following written notice from Songwriter, Songwriter may terminate this Agreement and all rights hereunder shall revert to Songwriter.</w:t>
      </w:r>
    </w:p>
    <w:p>
      <w:pPr>
        <w:spacing w:after="80" w:before="120"/>
        <w:ind w:left="360"/>
        <w:jc w:val="both"/>
      </w:pPr>
      <w:r>
        <w:rPr>
          <w:rFonts w:ascii="Courier New" w:cs="Courier New" w:eastAsia="Courier New" w:hAnsi="Courier New"/>
          <w:b/>
          <w:bCs/>
          <w:sz w:val="20"/>
          <w:szCs w:val="20"/>
        </w:rPr>
        <w:t xml:space="preserve">8. </w:t>
      </w:r>
      <w:r>
        <w:rPr>
          <w:rFonts w:ascii="Courier New" w:cs="Courier New" w:eastAsia="Courier New" w:hAnsi="Courier New"/>
          <w:b/>
          <w:bCs/>
          <w:sz w:val="20"/>
          <w:szCs w:val="20"/>
        </w:rPr>
        <w:t xml:space="preserve">WARRANTY. </w:t>
      </w:r>
      <w:r>
        <w:rPr>
          <w:rFonts w:ascii="Courier New" w:cs="Courier New" w:eastAsia="Courier New" w:hAnsi="Courier New"/>
          <w:color w:val="1A1A1A"/>
          <w:sz w:val="20"/>
          <w:szCs w:val="20"/>
        </w:rPr>
        <w:t xml:space="preserve">Songwriter warrants that the Composition is original, that Songwriter has the full right to enter into this Agreement, and that the Composition does not infringe the copyright of any third party.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This is MusiGod's core administration agreement structure. Three features distinguish it from traditional publishing agreements: (1) no copyright assignment — Songwriter retains all ownership; (2) 85/15 split in Songwriter's favor — significantly better than industry-standard publishing splits; (3) explicit approval rights — Songwriter controls commercial and advertising placements. These terms reflect MusiGod's service model and are a primary commercial differentiator.</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7: PUBLISHING ADMINISTRATION</w:t>
      </w:r>
    </w:p>
    <w:p>
      <w:pPr>
        <w:pStyle w:val="Heading2"/>
        <w:spacing w:after="180" w:before="360"/>
      </w:pPr>
      <w:r>
        <w:rPr>
          <w:rFonts w:ascii="Arial" w:cs="Arial" w:eastAsia="Arial" w:hAnsi="Arial"/>
          <w:b/>
          <w:bCs/>
          <w:color w:val="0D2137"/>
          <w:sz w:val="28"/>
          <w:szCs w:val="28"/>
        </w:rPr>
        <w:t xml:space="preserve">Administration Agreements</w:t>
      </w:r>
    </w:p>
    <w:p>
      <w:pPr>
        <w:spacing w:after="120" w:before="80"/>
        <w:jc w:val="both"/>
      </w:pPr>
      <w:r>
        <w:rPr>
          <w:rFonts w:ascii="Arial" w:cs="Arial" w:eastAsia="Arial" w:hAnsi="Arial"/>
          <w:color w:val="1A1A1A"/>
          <w:sz w:val="22"/>
          <w:szCs w:val="22"/>
        </w:rPr>
        <w:t xml:space="preserve">A publishing administration agreement is a contract in which the copyright owner (the songwriter or their wholly-owned publishing entity) retains full ownership of their copyrights while engaging a publishing administrator to handle the business functions of exploitation, licensing, registration, and royalty collection. The administrator acts as an agent of the copyright owner, not as a co-owner or assignee of the copyright.</w:t>
      </w:r>
    </w:p>
    <w:p>
      <w:pPr>
        <w:spacing w:after="120" w:before="80"/>
        <w:jc w:val="both"/>
      </w:pPr>
      <w:r>
        <w:rPr>
          <w:rFonts w:ascii="Arial" w:cs="Arial" w:eastAsia="Arial" w:hAnsi="Arial"/>
          <w:color w:val="1A1A1A"/>
          <w:sz w:val="22"/>
          <w:szCs w:val="22"/>
        </w:rPr>
        <w:t xml:space="preserve">The administration agreement is the cornerstone of MusiGod's commercial model. It defines the scope of administrative services, the administrator's fee, the term of the engagement, and the respective rights and obligations of the parties. The key commercial terms—administration fee, term, accounting frequency, approval rights, and reversion triggers—require careful calibration to ensure the agreement is commercially sustainable for the administrator and genuinely beneficial for the artist.</w:t>
      </w:r>
    </w:p>
    <w:p>
      <w:pPr>
        <w:pStyle w:val="Heading2"/>
        <w:spacing w:after="180" w:before="360"/>
      </w:pPr>
      <w:r>
        <w:rPr>
          <w:rFonts w:ascii="Arial" w:cs="Arial" w:eastAsia="Arial" w:hAnsi="Arial"/>
          <w:b/>
          <w:bCs/>
          <w:color w:val="0D2137"/>
          <w:sz w:val="28"/>
          <w:szCs w:val="28"/>
        </w:rPr>
        <w:t xml:space="preserve">Core Terms of a Publishing Administration Agreement</w:t>
      </w:r>
    </w:p>
    <w:p>
      <w:pPr>
        <w:pStyle w:val="Heading3"/>
        <w:spacing w:after="120" w:before="240"/>
      </w:pPr>
      <w:r>
        <w:rPr>
          <w:rFonts w:ascii="Arial" w:cs="Arial" w:eastAsia="Arial" w:hAnsi="Arial"/>
          <w:b/>
          <w:bCs/>
          <w:color w:val="4A4A4A"/>
          <w:sz w:val="24"/>
          <w:szCs w:val="24"/>
        </w:rPr>
        <w:t xml:space="preserve">Administration Fee</w:t>
      </w:r>
    </w:p>
    <w:p>
      <w:pPr>
        <w:spacing w:after="120" w:before="80"/>
        <w:jc w:val="both"/>
      </w:pPr>
      <w:r>
        <w:rPr>
          <w:rFonts w:ascii="Arial" w:cs="Arial" w:eastAsia="Arial" w:hAnsi="Arial"/>
          <w:color w:val="1A1A1A"/>
          <w:sz w:val="22"/>
          <w:szCs w:val="22"/>
        </w:rPr>
        <w:t xml:space="preserve">The administration fee is the administrator's economic compensation. Industry-standard administration fees range from 10% to 25% of gross receipts, with the most common range being 15% to 20%. MusiGod's standard fee is 15% of gross receipts—at the favorable end of the industry range. For retroactive recovery services (collection of previously unremitted income), MusiGod charges a 15% fee on amounts recovered, which aligns the administrator's economic interest with the artist's recovery.</w:t>
      </w:r>
    </w:p>
    <w:p>
      <w:pPr>
        <w:pStyle w:val="Heading3"/>
        <w:spacing w:after="120" w:before="240"/>
      </w:pPr>
      <w:r>
        <w:rPr>
          <w:rFonts w:ascii="Arial" w:cs="Arial" w:eastAsia="Arial" w:hAnsi="Arial"/>
          <w:b/>
          <w:bCs/>
          <w:color w:val="4A4A4A"/>
          <w:sz w:val="24"/>
          <w:szCs w:val="24"/>
        </w:rPr>
        <w:t xml:space="preserve">Term</w:t>
      </w:r>
    </w:p>
    <w:p>
      <w:pPr>
        <w:spacing w:after="120" w:before="80"/>
        <w:jc w:val="both"/>
      </w:pPr>
      <w:r>
        <w:rPr>
          <w:rFonts w:ascii="Arial" w:cs="Arial" w:eastAsia="Arial" w:hAnsi="Arial"/>
          <w:color w:val="1A1A1A"/>
          <w:sz w:val="22"/>
          <w:szCs w:val="22"/>
        </w:rPr>
        <w:t xml:space="preserve">Administration agreement terms are typically shorter than full publishing agreement terms, reflecting the more limited scope of the engagement. Standard administration terms range from two to five years. MusiGod's standard term is three years, with the option to renew on mutually agreed terms. Unlike full publishing agreements, administration agreements typically do not include options exercisable by the administrator—either party may elect not to renew.</w:t>
      </w:r>
    </w:p>
    <w:p>
      <w:pPr>
        <w:pStyle w:val="Heading3"/>
        <w:spacing w:after="120" w:before="240"/>
      </w:pPr>
      <w:r>
        <w:rPr>
          <w:rFonts w:ascii="Arial" w:cs="Arial" w:eastAsia="Arial" w:hAnsi="Arial"/>
          <w:b/>
          <w:bCs/>
          <w:color w:val="4A4A4A"/>
          <w:sz w:val="24"/>
          <w:szCs w:val="24"/>
        </w:rPr>
        <w:t xml:space="preserve">Accounting Frequency</w:t>
      </w:r>
    </w:p>
    <w:p>
      <w:pPr>
        <w:spacing w:after="120" w:before="80"/>
        <w:jc w:val="both"/>
      </w:pPr>
      <w:r>
        <w:rPr>
          <w:rFonts w:ascii="Arial" w:cs="Arial" w:eastAsia="Arial" w:hAnsi="Arial"/>
          <w:color w:val="1A1A1A"/>
          <w:sz w:val="22"/>
          <w:szCs w:val="22"/>
        </w:rPr>
        <w:t xml:space="preserve">Accounting frequency is a critical cash flow issue for artists. Quarterly accounting is the current industry standard for administration agreements. Monthly accounting, while technically feasible, is administratively burdensome for most publishers. MusiGod's standard is quarterly accounting with payment within 45 days of the close of each calendar quarter.</w:t>
      </w:r>
    </w:p>
    <w:p>
      <w:pPr>
        <w:pStyle w:val="Heading2"/>
        <w:spacing w:after="180" w:before="360"/>
      </w:pPr>
      <w:r>
        <w:rPr>
          <w:rFonts w:ascii="Arial" w:cs="Arial" w:eastAsia="Arial" w:hAnsi="Arial"/>
          <w:b/>
          <w:bCs/>
          <w:color w:val="0D2137"/>
          <w:sz w:val="28"/>
          <w:szCs w:val="28"/>
        </w:rPr>
        <w:t xml:space="preserve">Foreign Sub-Publishing Agreements</w:t>
      </w:r>
    </w:p>
    <w:p>
      <w:pPr>
        <w:spacing w:after="120" w:before="80"/>
        <w:jc w:val="both"/>
      </w:pPr>
      <w:r>
        <w:rPr>
          <w:rFonts w:ascii="Arial" w:cs="Arial" w:eastAsia="Arial" w:hAnsi="Arial"/>
          <w:color w:val="1A1A1A"/>
          <w:sz w:val="22"/>
          <w:szCs w:val="22"/>
        </w:rPr>
        <w:t xml:space="preserve">A foreign sub-publishing agreement is an agreement between a U.S. publisher (the head publisher) and a foreign publishing entity (the sub-publisher) under which the sub-publisher is granted the right to administer and exploit the head publisher's catalog in one or more foreign territories. The sub-publisher provides active licensing, collection, and promotion services in its territory, in exchange for a percentage of royalties collected locally.</w:t>
      </w:r>
    </w:p>
    <w:p>
      <w:pPr>
        <w:spacing w:after="120" w:before="80"/>
        <w:jc w:val="both"/>
      </w:pPr>
      <w:r>
        <w:rPr>
          <w:rFonts w:ascii="Arial" w:cs="Arial" w:eastAsia="Arial" w:hAnsi="Arial"/>
          <w:color w:val="1A1A1A"/>
          <w:sz w:val="22"/>
          <w:szCs w:val="22"/>
        </w:rPr>
        <w:t xml:space="preserve">Sub-publishing fees typically range from 15% to 25% of gross receipts collected in the territory. The key commercial issues in sub-publishing negotiations include: the retention rate (the percentage retained by the sub-publisher), whether the retention is calculated on gross or net receipts, the treatment of black box income, the minimum activity commitment of the sub-publisher, and the audit rights of the head publisher.</w:t>
      </w:r>
    </w:p>
    <w:p>
      <w:pPr>
        <w:spacing w:after="120" w:before="80"/>
        <w:jc w:val="both"/>
      </w:pPr>
      <w:r>
        <w:rPr>
          <w:rFonts w:ascii="Arial" w:cs="Arial" w:eastAsia="Arial" w:hAnsi="Arial"/>
          <w:color w:val="1A1A1A"/>
          <w:sz w:val="22"/>
          <w:szCs w:val="22"/>
        </w:rPr>
        <w:t xml:space="preserve">For a publishing administration operation like MusiGod, sub-publishing relationships in major international markets (UK, Germany, France, Japan, Australia) are essential for effective foreign royalty collection. Without active sub-publishers in these territories, the administrator must rely entirely on the reciprocal society arrangement—which, while functional, provides limited commercial promotion and can result in slower collection cycles.</w:t>
      </w:r>
    </w:p>
    <w:p>
      <w:pPr>
        <w:pStyle w:val="Heading2"/>
        <w:spacing w:after="180" w:before="360"/>
      </w:pPr>
      <w:r>
        <w:rPr>
          <w:rFonts w:ascii="Arial" w:cs="Arial" w:eastAsia="Arial" w:hAnsi="Arial"/>
          <w:b/>
          <w:bCs/>
          <w:color w:val="0D2137"/>
          <w:sz w:val="28"/>
          <w:szCs w:val="28"/>
        </w:rPr>
        <w:t xml:space="preserve">How Foreign Royalty Streams Are Paid and Distributed</w:t>
      </w:r>
    </w:p>
    <w:p>
      <w:pPr>
        <w:spacing w:after="120" w:before="80"/>
        <w:jc w:val="both"/>
      </w:pPr>
      <w:r>
        <w:rPr>
          <w:rFonts w:ascii="Arial" w:cs="Arial" w:eastAsia="Arial" w:hAnsi="Arial"/>
          <w:color w:val="1A1A1A"/>
          <w:sz w:val="22"/>
          <w:szCs w:val="22"/>
        </w:rPr>
        <w:t xml:space="preserve">Foreign royalty collection involves a multi-step process: (1) the composition is performed or exploited in a foreign territory; (2) the local collecting society (or sub-publisher) tracks and collects the applicable royalties; (3) the collected amounts are remitted to the U.S. PRO or administrator, net of the local society's fees; (4) the U.S. PRO or administrator remits the net amount to the copyright owner. Total collection time from performance date to distribution to the copyright owner typically ranges from 12 to 24 months.</w:t>
      </w:r>
    </w:p>
    <w:p>
      <w:pPr>
        <w:spacing w:after="120" w:before="80"/>
        <w:jc w:val="both"/>
      </w:pPr>
      <w:r>
        <w:rPr>
          <w:rFonts w:ascii="Arial" w:cs="Arial" w:eastAsia="Arial" w:hAnsi="Arial"/>
          <w:color w:val="1A1A1A"/>
          <w:sz w:val="22"/>
          <w:szCs w:val="22"/>
        </w:rPr>
        <w:t xml:space="preserve">Foreign royalty income is typically denominated in the currency of the collecting territory and subject to currency conversion at the exchange rate prevailing at the time of remittance. Currency risk is generally borne by the copyright owner. Some territories impose withholding taxes on royalty remittances; the applicable tax treaty provisions and withholding tax certificates must be managed as part of the administration function.</w:t>
      </w:r>
    </w:p>
    <w:p>
      <w:pPr>
        <w:pStyle w:val="Heading2"/>
        <w:spacing w:after="180" w:before="360"/>
      </w:pPr>
      <w:r>
        <w:rPr>
          <w:rFonts w:ascii="Arial" w:cs="Arial" w:eastAsia="Arial" w:hAnsi="Arial"/>
          <w:b/>
          <w:bCs/>
          <w:color w:val="0D2137"/>
          <w:sz w:val="28"/>
          <w:szCs w:val="28"/>
        </w:rPr>
        <w:t xml:space="preserve">'Black Box' Income</w:t>
      </w:r>
    </w:p>
    <w:p>
      <w:pPr>
        <w:spacing w:after="120" w:before="80"/>
        <w:jc w:val="both"/>
      </w:pPr>
      <w:r>
        <w:rPr>
          <w:rFonts w:ascii="Arial" w:cs="Arial" w:eastAsia="Arial" w:hAnsi="Arial"/>
          <w:color w:val="1A1A1A"/>
          <w:sz w:val="22"/>
          <w:szCs w:val="22"/>
        </w:rPr>
        <w:t xml:space="preserve">Black box income refers to royalties collected by collecting societies that cannot be matched to specific compositions or copyright owners and therefore cannot be distributed to the entitled rights holders. Rather than holding these amounts indefinitely, collecting societies typically distribute unmatched royalties to their members in proportion to each member's share of identified distributions—effectively rewarding well-documented, high-performing catalogs at the expense of smaller or less-documented rights holders.</w:t>
      </w:r>
    </w:p>
    <w:p>
      <w:pPr>
        <w:spacing w:after="120" w:before="80"/>
        <w:jc w:val="both"/>
      </w:pPr>
      <w:r>
        <w:rPr>
          <w:rFonts w:ascii="Arial" w:cs="Arial" w:eastAsia="Arial" w:hAnsi="Arial"/>
          <w:color w:val="1A1A1A"/>
          <w:sz w:val="22"/>
          <w:szCs w:val="22"/>
        </w:rPr>
        <w:t xml:space="preserve">Black box income is substantial: estimates suggest that tens of millions of dollars in unmatched royalties are distributed as black box income annually by collecting societies worldwide. The primary causes of unmatched income are: incomplete or inaccurate composition metadata, missing ISWC codes, unregistered compositions, and discrepancies between local society registration records and the actual ownership of compositions.</w:t>
      </w:r>
    </w:p>
    <w:p>
      <w:pPr>
        <w:spacing w:after="120" w:before="80"/>
        <w:jc w:val="both"/>
      </w:pPr>
      <w:r>
        <w:rPr>
          <w:rFonts w:ascii="Arial" w:cs="Arial" w:eastAsia="Arial" w:hAnsi="Arial"/>
          <w:color w:val="1A1A1A"/>
          <w:sz w:val="22"/>
          <w:szCs w:val="22"/>
        </w:rPr>
        <w:t xml:space="preserve">For publishing administrators, minimizing black box leakage is a direct function of metadata quality. Compositions that are fully registered with accurate metadata in every relevant collecting society's database are substantially less likely to generate unmatched income. MusiGod's administration platform should include systematic international registration and metadata verification as a core service function.</w:t>
      </w:r>
    </w:p>
    <w:p>
      <w:pPr>
        <w:spacing w:after="0" w:before="120"/>
      </w:pPr>
      <w:r>
        <w:t xml:space="preserve"/>
      </w:r>
    </w:p>
    <w:p>
      <w:pPr>
        <w:spacing w:after="80" w:before="240"/>
      </w:pPr>
      <w:r>
        <w:rPr>
          <w:rFonts w:ascii="Arial" w:cs="Arial" w:eastAsia="Arial" w:hAnsi="Arial"/>
          <w:b/>
          <w:bCs/>
          <w:color w:val="0D2137"/>
          <w:sz w:val="22"/>
          <w:szCs w:val="22"/>
          <w:u w:val="single"/>
        </w:rPr>
        <w:t xml:space="preserve">PUBLISHING ADMINISTRATION AGREEMENT — FULL FORM</w:t>
      </w:r>
    </w:p>
    <w:p>
      <w:pPr>
        <w:spacing w:after="80" w:before="80"/>
        <w:ind w:left="720"/>
      </w:pPr>
      <w:r>
        <w:rPr>
          <w:rFonts w:ascii="Courier New" w:cs="Courier New" w:eastAsia="Courier New" w:hAnsi="Courier New"/>
          <w:color w:val="1A1A1A"/>
          <w:sz w:val="20"/>
          <w:szCs w:val="20"/>
        </w:rPr>
        <w:t xml:space="preserve">This Publishing Administration Agreement ("Agreement") is entered into as of _______________ ("Effective Date") between _______________, an individual residing at _______________ (together with any publishing entity controlled by the foregoing, "Administrator Client"), and MusiGod Publishing Administration LLC, a Michigan limited liability company ("Administrator").</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APPOINTMENT AS ADMINISTRATOR. </w:t>
      </w:r>
      <w:r>
        <w:rPr>
          <w:rFonts w:ascii="Courier New" w:cs="Courier New" w:eastAsia="Courier New" w:hAnsi="Courier New"/>
          <w:color w:val="1A1A1A"/>
          <w:sz w:val="20"/>
          <w:szCs w:val="20"/>
        </w:rPr>
        <w:t xml:space="preserve">Administrator Client hereby appoints Administrator as the exclusive publishing administrator for the musical compositions listed in Schedule A and all compositions created or acquired by Administrator Client during the Term (collectively, the "Compositions"), throughout the world (the "Territory"), during the Term of this Agreement. Administrator Client retains full copyright ownership in all Compositions.</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SCOPE OF SERVICES. </w:t>
      </w:r>
      <w:r>
        <w:rPr>
          <w:rFonts w:ascii="Courier New" w:cs="Courier New" w:eastAsia="Courier New" w:hAnsi="Courier New"/>
          <w:color w:val="1A1A1A"/>
          <w:sz w:val="20"/>
          <w:szCs w:val="20"/>
        </w:rPr>
        <w:t xml:space="preserve">Administrator shall provide the following services in connection with the Compositions: (a) copyright registration with the U.S. Copyright Office and applicable international bodies; (b) registration with all applicable Performing Rights Organizations and mechanical rights organizations, including without limitation ASCAP, BMI, SESAC, and the Mechanical Licensing Collective; (c) issuance of mechanical licenses, synchronization licenses, print licenses, and other licenses for the exploitation of the Compositions; (d) collection of all royalties and license fees due in connection with the Compositions; (e) royalty accounting and distribution to Administrator Client; (f) audit and royalty recovery services as requested; and (g) such other administration services as the parties may mutually agree.</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ADMINISTRATION FEE. </w:t>
      </w:r>
      <w:r>
        <w:rPr>
          <w:rFonts w:ascii="Courier New" w:cs="Courier New" w:eastAsia="Courier New" w:hAnsi="Courier New"/>
          <w:color w:val="1A1A1A"/>
          <w:sz w:val="20"/>
          <w:szCs w:val="20"/>
        </w:rPr>
        <w:t xml:space="preserve">In consideration of the services provided hereunder, Administrator shall be entitled to retain 15% of all Gross Receipts. 'Gross Receipts' means all royalties, license fees, and other income received by Administrator in connection with the Compositions during the Term, before deduction of sub-publisher fees (which shall not exceed industry standard rates as set forth in Schedule B), foreign withholding taxes (disclosed separately), and other third-party collection charges. All deductions shall be itemized on each accounting statement.</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RETROACTIVE RECOVERY. </w:t>
      </w:r>
      <w:r>
        <w:rPr>
          <w:rFonts w:ascii="Courier New" w:cs="Courier New" w:eastAsia="Courier New" w:hAnsi="Courier New"/>
          <w:color w:val="1A1A1A"/>
          <w:sz w:val="20"/>
          <w:szCs w:val="20"/>
        </w:rPr>
        <w:t xml:space="preserve">For royalties and license fees attributable to periods prior to the Effective Date that are recovered through Administrator's efforts, Administrator shall be entitled to retain 15% of the amounts recovered, which shall be in addition to (and not in lieu of) the Administration Fee on prospective income.</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TERM. </w:t>
      </w:r>
      <w:r>
        <w:rPr>
          <w:rFonts w:ascii="Courier New" w:cs="Courier New" w:eastAsia="Courier New" w:hAnsi="Courier New"/>
          <w:color w:val="1A1A1A"/>
          <w:sz w:val="20"/>
          <w:szCs w:val="20"/>
        </w:rPr>
        <w:t xml:space="preserve">The initial term of this Agreement shall be three (3) years commencing on the Effective Date (the "Initial Term"). The Agreement may be renewed for successive one-year periods by mutual written agreement of the parties no less than 90 days prior to the expiration of the then-current term.</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ACCOUNTING AND PAYMENT. </w:t>
      </w:r>
      <w:r>
        <w:rPr>
          <w:rFonts w:ascii="Courier New" w:cs="Courier New" w:eastAsia="Courier New" w:hAnsi="Courier New"/>
          <w:color w:val="1A1A1A"/>
          <w:sz w:val="20"/>
          <w:szCs w:val="20"/>
        </w:rPr>
        <w:t xml:space="preserve">Administrator shall render statements of account and remit net amounts due to Administrator Client on a quarterly basis, within 45 days of the close of each calendar quarter. Each statement shall itemize, by Composition and by income type, all Gross Receipts received during the accounting period, all deductions applied, the Administration Fee retained, and the net amount due to Administrator Client.</w:t>
      </w:r>
    </w:p>
    <w:p>
      <w:pPr>
        <w:spacing w:after="80" w:before="120"/>
        <w:ind w:left="360"/>
        <w:jc w:val="both"/>
      </w:pPr>
      <w:r>
        <w:rPr>
          <w:rFonts w:ascii="Courier New" w:cs="Courier New" w:eastAsia="Courier New" w:hAnsi="Courier New"/>
          <w:b/>
          <w:bCs/>
          <w:sz w:val="20"/>
          <w:szCs w:val="20"/>
        </w:rPr>
        <w:t xml:space="preserve">7. </w:t>
      </w:r>
      <w:r>
        <w:rPr>
          <w:rFonts w:ascii="Courier New" w:cs="Courier New" w:eastAsia="Courier New" w:hAnsi="Courier New"/>
          <w:b/>
          <w:bCs/>
          <w:sz w:val="20"/>
          <w:szCs w:val="20"/>
        </w:rPr>
        <w:t xml:space="preserve">AUDIT RIGHTS. </w:t>
      </w:r>
      <w:r>
        <w:rPr>
          <w:rFonts w:ascii="Courier New" w:cs="Courier New" w:eastAsia="Courier New" w:hAnsi="Courier New"/>
          <w:color w:val="1A1A1A"/>
          <w:sz w:val="20"/>
          <w:szCs w:val="20"/>
        </w:rPr>
        <w:t xml:space="preserve">Administrator Client shall have the right, upon no less than 30 days prior written notice and no more than once per calendar year, to audit Administrator's books and records relevant to the Compositions. Any examination shall be conducted at Administrator Client's expense; provided that if the examination discloses an underpayment in excess of 5% of the net amounts due for the period examined, Administrator shall bear the reasonable costs of the examination. Administrator Client shall initiate any examination within three (3) years of the date the relevant accounting statement was rendered.</w:t>
      </w:r>
    </w:p>
    <w:p>
      <w:pPr>
        <w:spacing w:after="80" w:before="120"/>
        <w:ind w:left="360"/>
        <w:jc w:val="both"/>
      </w:pPr>
      <w:r>
        <w:rPr>
          <w:rFonts w:ascii="Courier New" w:cs="Courier New" w:eastAsia="Courier New" w:hAnsi="Courier New"/>
          <w:b/>
          <w:bCs/>
          <w:sz w:val="20"/>
          <w:szCs w:val="20"/>
        </w:rPr>
        <w:t xml:space="preserve">8. </w:t>
      </w:r>
      <w:r>
        <w:rPr>
          <w:rFonts w:ascii="Courier New" w:cs="Courier New" w:eastAsia="Courier New" w:hAnsi="Courier New"/>
          <w:b/>
          <w:bCs/>
          <w:sz w:val="20"/>
          <w:szCs w:val="20"/>
        </w:rPr>
        <w:t xml:space="preserve">SONGWRITER APPROVALS. </w:t>
      </w:r>
      <w:r>
        <w:rPr>
          <w:rFonts w:ascii="Courier New" w:cs="Courier New" w:eastAsia="Courier New" w:hAnsi="Courier New"/>
          <w:color w:val="1A1A1A"/>
          <w:sz w:val="20"/>
          <w:szCs w:val="20"/>
        </w:rPr>
        <w:t xml:space="preserve">Notwithstanding Administrator's authority to issue licenses on Administrator Client's behalf, Administrator shall obtain Administrator Client's prior written approval before issuing any: (a) synchronization license for use in advertising or commercials; (b) license that alters or adapts the original lyrics or melody; (c) grand rights or dramatic use license; (d) license for any use that Administrator Client has previously designated as subject to approval in writing. Administrator shall respond to approval requests within five (5) business days; failure to respond within that period shall be deemed approval.</w:t>
      </w:r>
    </w:p>
    <w:p>
      <w:pPr>
        <w:spacing w:after="80" w:before="120"/>
        <w:ind w:left="360"/>
        <w:jc w:val="both"/>
      </w:pPr>
      <w:r>
        <w:rPr>
          <w:rFonts w:ascii="Courier New" w:cs="Courier New" w:eastAsia="Courier New" w:hAnsi="Courier New"/>
          <w:b/>
          <w:bCs/>
          <w:sz w:val="20"/>
          <w:szCs w:val="20"/>
        </w:rPr>
        <w:t xml:space="preserve">9. </w:t>
      </w:r>
      <w:r>
        <w:rPr>
          <w:rFonts w:ascii="Courier New" w:cs="Courier New" w:eastAsia="Courier New" w:hAnsi="Courier New"/>
          <w:b/>
          <w:bCs/>
          <w:sz w:val="20"/>
          <w:szCs w:val="20"/>
        </w:rPr>
        <w:t xml:space="preserve">REPRESENTATIONS AND WARRANTIES. </w:t>
      </w:r>
      <w:r>
        <w:rPr>
          <w:rFonts w:ascii="Courier New" w:cs="Courier New" w:eastAsia="Courier New" w:hAnsi="Courier New"/>
          <w:color w:val="1A1A1A"/>
          <w:sz w:val="20"/>
          <w:szCs w:val="20"/>
        </w:rPr>
        <w:t xml:space="preserve">Administrator Client represents and warrants that: (a) Administrator Client is the sole owner of the copyrights in the Compositions or has the authority to grant the rights set forth herein; (b) the Compositions are original and do not infringe the copyright of any third party; (c) there are no liens, encumbrances, or competing claims on the Compositions; and (d) this Agreement does not conflict with any other agreement to which Administrator Client is a party.</w:t>
      </w:r>
    </w:p>
    <w:p>
      <w:pPr>
        <w:spacing w:after="80" w:before="120"/>
        <w:ind w:left="360"/>
        <w:jc w:val="both"/>
      </w:pPr>
      <w:r>
        <w:rPr>
          <w:rFonts w:ascii="Courier New" w:cs="Courier New" w:eastAsia="Courier New" w:hAnsi="Courier New"/>
          <w:b/>
          <w:bCs/>
          <w:sz w:val="20"/>
          <w:szCs w:val="20"/>
        </w:rPr>
        <w:t xml:space="preserve">10. </w:t>
      </w:r>
      <w:r>
        <w:rPr>
          <w:rFonts w:ascii="Courier New" w:cs="Courier New" w:eastAsia="Courier New" w:hAnsi="Courier New"/>
          <w:b/>
          <w:bCs/>
          <w:sz w:val="20"/>
          <w:szCs w:val="20"/>
        </w:rPr>
        <w:t xml:space="preserve">INDEMNIFICATION. </w:t>
      </w:r>
      <w:r>
        <w:rPr>
          <w:rFonts w:ascii="Courier New" w:cs="Courier New" w:eastAsia="Courier New" w:hAnsi="Courier New"/>
          <w:color w:val="1A1A1A"/>
          <w:sz w:val="20"/>
          <w:szCs w:val="20"/>
        </w:rPr>
        <w:t xml:space="preserve">Administrator Client shall indemnify, defend, and hold harmless Administrator from and against any and all claims, damages, liabilities, and reasonable attorneys' fees arising from any breach of the foregoing representations and warranties. Administrator shall indemnify, defend, and hold harmless Administrator Client from and against any and all claims arising from Administrator's negligence or willful misconduct in the performance of its obligations hereunder.</w:t>
      </w:r>
    </w:p>
    <w:p>
      <w:pPr>
        <w:spacing w:after="80" w:before="120"/>
        <w:ind w:left="360"/>
        <w:jc w:val="both"/>
      </w:pPr>
      <w:r>
        <w:rPr>
          <w:rFonts w:ascii="Courier New" w:cs="Courier New" w:eastAsia="Courier New" w:hAnsi="Courier New"/>
          <w:b/>
          <w:bCs/>
          <w:sz w:val="20"/>
          <w:szCs w:val="20"/>
        </w:rPr>
        <w:t xml:space="preserve">11. </w:t>
      </w:r>
      <w:r>
        <w:rPr>
          <w:rFonts w:ascii="Courier New" w:cs="Courier New" w:eastAsia="Courier New" w:hAnsi="Courier New"/>
          <w:b/>
          <w:bCs/>
          <w:sz w:val="20"/>
          <w:szCs w:val="20"/>
        </w:rPr>
        <w:t xml:space="preserve">TERMINATION FOR CAUSE. </w:t>
      </w:r>
      <w:r>
        <w:rPr>
          <w:rFonts w:ascii="Courier New" w:cs="Courier New" w:eastAsia="Courier New" w:hAnsi="Courier New"/>
          <w:color w:val="1A1A1A"/>
          <w:sz w:val="20"/>
          <w:szCs w:val="20"/>
        </w:rPr>
        <w:t xml:space="preserve">Either party may terminate this Agreement immediately upon written notice in the event of a material breach by the other party that remains uncured for 30 days following written notice thereof. Upon termination, Administrator shall promptly transfer all royalty files, registration records, and accounting documentation to Administrator Client or its designee.</w:t>
      </w:r>
    </w:p>
    <w:p>
      <w:pPr>
        <w:spacing w:after="80" w:before="120"/>
        <w:ind w:left="360"/>
        <w:jc w:val="both"/>
      </w:pPr>
      <w:r>
        <w:rPr>
          <w:rFonts w:ascii="Courier New" w:cs="Courier New" w:eastAsia="Courier New" w:hAnsi="Courier New"/>
          <w:b/>
          <w:bCs/>
          <w:sz w:val="20"/>
          <w:szCs w:val="20"/>
        </w:rPr>
        <w:t xml:space="preserve">12. </w:t>
      </w:r>
      <w:r>
        <w:rPr>
          <w:rFonts w:ascii="Courier New" w:cs="Courier New" w:eastAsia="Courier New" w:hAnsi="Courier New"/>
          <w:b/>
          <w:bCs/>
          <w:sz w:val="20"/>
          <w:szCs w:val="20"/>
        </w:rPr>
        <w:t xml:space="preserve">REVERSION UPON TERMINATION. </w:t>
      </w:r>
      <w:r>
        <w:rPr>
          <w:rFonts w:ascii="Courier New" w:cs="Courier New" w:eastAsia="Courier New" w:hAnsi="Courier New"/>
          <w:color w:val="1A1A1A"/>
          <w:sz w:val="20"/>
          <w:szCs w:val="20"/>
        </w:rPr>
        <w:t xml:space="preserve">Upon expiration or termination of this Agreement for any reason, all rights granted to Administrator hereunder shall immediately revert to Administrator Client. Administrator shall have no continuing authority to issue new licenses after the effective date of termination; provided that licenses issued prior to termination shall remain in effect for their stated terms.</w:t>
      </w:r>
    </w:p>
    <w:p>
      <w:pPr>
        <w:spacing w:after="80" w:before="120"/>
        <w:ind w:left="360"/>
        <w:jc w:val="both"/>
      </w:pPr>
      <w:r>
        <w:rPr>
          <w:rFonts w:ascii="Courier New" w:cs="Courier New" w:eastAsia="Courier New" w:hAnsi="Courier New"/>
          <w:b/>
          <w:bCs/>
          <w:sz w:val="20"/>
          <w:szCs w:val="20"/>
        </w:rPr>
        <w:t xml:space="preserve">13. </w:t>
      </w:r>
      <w:r>
        <w:rPr>
          <w:rFonts w:ascii="Courier New" w:cs="Courier New" w:eastAsia="Courier New" w:hAnsi="Courier New"/>
          <w:b/>
          <w:bCs/>
          <w:sz w:val="20"/>
          <w:szCs w:val="20"/>
        </w:rPr>
        <w:t xml:space="preserve">GOVERNING LAW AND DISPUTE RESOLUTION. </w:t>
      </w:r>
      <w:r>
        <w:rPr>
          <w:rFonts w:ascii="Courier New" w:cs="Courier New" w:eastAsia="Courier New" w:hAnsi="Courier New"/>
          <w:color w:val="1A1A1A"/>
          <w:sz w:val="20"/>
          <w:szCs w:val="20"/>
        </w:rPr>
        <w:t xml:space="preserve">This Agreement shall be governed by the laws of the State of Michigan. Any dispute arising hereunder that cannot be resolved by good faith negotiation shall be submitted to binding arbitration in Detroit, Michigan, in accordance with the rules of the American Arbitration Association. Notwithstanding the foregoing, either party may seek injunctive relief in any court of competent jurisdiction to prevent irreparable harm.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This agreement template embodies MusiGod's core service proposition: rights retained by the artist, transparent fee structure, quarterly accounting, and explicit approval rights. Key management considerations: (1) Clause 8's 5-business-day approval response window prevents licenses from being held hostage by artist inattention while preserving genuine creative control; (2) Clause 12's immediate reversion on termination is a competitive differentiator—many publishing administrators insert 'wind-down' periods that delay reversion; (3) Clause 7's 3-year audit lookback window is standard; consider whether MusiGod wants to negotiate longer windows with sub-publishers and collecting societies.</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8: COMPOSER AGREEMENTS</w:t>
      </w:r>
    </w:p>
    <w:p>
      <w:pPr>
        <w:pStyle w:val="Heading2"/>
        <w:spacing w:after="180" w:before="360"/>
      </w:pPr>
      <w:r>
        <w:rPr>
          <w:rFonts w:ascii="Arial" w:cs="Arial" w:eastAsia="Arial" w:hAnsi="Arial"/>
          <w:b/>
          <w:bCs/>
          <w:color w:val="0D2137"/>
          <w:sz w:val="28"/>
          <w:szCs w:val="28"/>
        </w:rPr>
        <w:t xml:space="preserve">Basic Terms</w:t>
      </w:r>
    </w:p>
    <w:p>
      <w:pPr>
        <w:spacing w:after="120" w:before="80"/>
        <w:jc w:val="both"/>
      </w:pPr>
      <w:r>
        <w:rPr>
          <w:rFonts w:ascii="Arial" w:cs="Arial" w:eastAsia="Arial" w:hAnsi="Arial"/>
          <w:color w:val="1A1A1A"/>
          <w:sz w:val="22"/>
          <w:szCs w:val="22"/>
        </w:rPr>
        <w:t xml:space="preserve">Composer agreements govern the engagement of a composer to create original music for specific audiovisual projects—film scores, television themes, video game soundtracks, advertising music, and similar commissions. They are distinct from songwriter agreements in several important respects: the music is created on commission for a specific purpose, the composer is typically compensated by a fee (rather than by royalties in the first instance), and the film or television studio may assert work-for-hire ownership over the commissioned score.</w:t>
      </w:r>
    </w:p>
    <w:p>
      <w:pPr>
        <w:spacing w:after="120" w:before="80"/>
        <w:jc w:val="both"/>
      </w:pPr>
      <w:r>
        <w:rPr>
          <w:rFonts w:ascii="Arial" w:cs="Arial" w:eastAsia="Arial" w:hAnsi="Arial"/>
          <w:color w:val="1A1A1A"/>
          <w:sz w:val="22"/>
          <w:szCs w:val="22"/>
        </w:rPr>
        <w:t xml:space="preserve">The fundamental tension in a composer agreement is between the commissioner's desire for maximum ownership and control over the music and the composer's interest in retaining publishing rights and ongoing royalty income. The resolution of this tension defines the commercial terms of the deal and directly determines the long-term economic value the composer extracts from their creative work.</w:t>
      </w:r>
    </w:p>
    <w:p>
      <w:pPr>
        <w:pStyle w:val="Heading3"/>
        <w:spacing w:after="120" w:before="240"/>
      </w:pPr>
      <w:r>
        <w:rPr>
          <w:rFonts w:ascii="Arial" w:cs="Arial" w:eastAsia="Arial" w:hAnsi="Arial"/>
          <w:b/>
          <w:bCs/>
          <w:color w:val="4A4A4A"/>
          <w:sz w:val="24"/>
          <w:szCs w:val="24"/>
        </w:rPr>
        <w:t xml:space="preserve">Fee Structure</w:t>
      </w:r>
    </w:p>
    <w:p>
      <w:pPr>
        <w:spacing w:after="120" w:before="80"/>
        <w:jc w:val="both"/>
      </w:pPr>
      <w:r>
        <w:rPr>
          <w:rFonts w:ascii="Arial" w:cs="Arial" w:eastAsia="Arial" w:hAnsi="Arial"/>
          <w:color w:val="1A1A1A"/>
          <w:sz w:val="22"/>
          <w:szCs w:val="22"/>
        </w:rPr>
        <w:t xml:space="preserve">Composer agreements typically provide for a creative fee—a one-time payment for the services of creating and delivering the score. The fee is negotiated based on the budget of the production, the commercial profile of the composer, the scope of the assignment, and the competitive market for comparable services. Fees range from a few thousand dollars for low-budget independent films to millions of dollars for major studio productions.</w:t>
      </w:r>
    </w:p>
    <w:p>
      <w:pPr>
        <w:pStyle w:val="Heading3"/>
        <w:spacing w:after="120" w:before="240"/>
      </w:pPr>
      <w:r>
        <w:rPr>
          <w:rFonts w:ascii="Arial" w:cs="Arial" w:eastAsia="Arial" w:hAnsi="Arial"/>
          <w:b/>
          <w:bCs/>
          <w:color w:val="4A4A4A"/>
          <w:sz w:val="24"/>
          <w:szCs w:val="24"/>
        </w:rPr>
        <w:t xml:space="preserve">Royalties</w:t>
      </w:r>
    </w:p>
    <w:p>
      <w:pPr>
        <w:spacing w:after="120" w:before="80"/>
        <w:jc w:val="both"/>
      </w:pPr>
      <w:r>
        <w:rPr>
          <w:rFonts w:ascii="Arial" w:cs="Arial" w:eastAsia="Arial" w:hAnsi="Arial"/>
          <w:color w:val="1A1A1A"/>
          <w:sz w:val="22"/>
          <w:szCs w:val="22"/>
        </w:rPr>
        <w:t xml:space="preserve">In addition to the creative fee, composers typically negotiate for the right to retain publishing rights in the commissioned music—entitling them to publishing royalties (mechanical, performance, and synchronization income) from future exploitation of the score. The publisher may be the composer's own publishing entity, a co-publishing entity shared with the studio, or the studio itself, depending on the relative bargaining positions of the parties.</w:t>
      </w:r>
    </w:p>
    <w:p>
      <w:pPr>
        <w:pStyle w:val="Heading3"/>
        <w:spacing w:after="120" w:before="240"/>
      </w:pPr>
      <w:r>
        <w:rPr>
          <w:rFonts w:ascii="Arial" w:cs="Arial" w:eastAsia="Arial" w:hAnsi="Arial"/>
          <w:b/>
          <w:bCs/>
          <w:color w:val="4A4A4A"/>
          <w:sz w:val="24"/>
          <w:szCs w:val="24"/>
        </w:rPr>
        <w:t xml:space="preserve">Performance Royalties</w:t>
      </w:r>
    </w:p>
    <w:p>
      <w:pPr>
        <w:spacing w:after="120" w:before="80"/>
        <w:jc w:val="both"/>
      </w:pPr>
      <w:r>
        <w:rPr>
          <w:rFonts w:ascii="Arial" w:cs="Arial" w:eastAsia="Arial" w:hAnsi="Arial"/>
          <w:color w:val="1A1A1A"/>
          <w:sz w:val="22"/>
          <w:szCs w:val="22"/>
        </w:rPr>
        <w:t xml:space="preserve">Performance royalties from broadcast and streaming of films and television programs containing original scores represent a significant and ongoing revenue stream for composers. In the United States, performance royalties are paid directly to the composer and their publisher by PROs based on cue sheet reports. Internationally, performance royalties may be substantially higher per broadcast than domestic rates—European broadcasters in particular pay performance royalties at rates that can generate meaningful income for composers with international broadcasting activity.</w:t>
      </w:r>
    </w:p>
    <w:p>
      <w:pPr>
        <w:pStyle w:val="Heading2"/>
        <w:spacing w:after="180" w:before="360"/>
      </w:pPr>
      <w:r>
        <w:rPr>
          <w:rFonts w:ascii="Arial" w:cs="Arial" w:eastAsia="Arial" w:hAnsi="Arial"/>
          <w:b/>
          <w:bCs/>
          <w:color w:val="0D2137"/>
          <w:sz w:val="28"/>
          <w:szCs w:val="28"/>
        </w:rPr>
        <w:t xml:space="preserve">Warranties and Indemnification</w:t>
      </w:r>
    </w:p>
    <w:p>
      <w:pPr>
        <w:spacing w:after="120" w:before="80"/>
        <w:jc w:val="both"/>
      </w:pPr>
      <w:r>
        <w:rPr>
          <w:rFonts w:ascii="Arial" w:cs="Arial" w:eastAsia="Arial" w:hAnsi="Arial"/>
          <w:color w:val="1A1A1A"/>
          <w:sz w:val="22"/>
          <w:szCs w:val="22"/>
        </w:rPr>
        <w:t xml:space="preserve">Composer agreements invariably include warranties by the composer that the delivered music is original, does not infringe third-party copyrights, and is the composer's own work product. Indemnification provisions hold the studio harmless from third-party infringement claims arising from the delivered music. These provisions are standard but must be carefully scoped—broad indemnification provisions that cover any claim (as opposed to claims based on actual breach of warranty) can expose the composer to significant liability for groundless claims.</w:t>
      </w:r>
    </w:p>
    <w:p>
      <w:pPr>
        <w:pStyle w:val="Heading2"/>
        <w:spacing w:after="180" w:before="360"/>
      </w:pPr>
      <w:r>
        <w:rPr>
          <w:rFonts w:ascii="Arial" w:cs="Arial" w:eastAsia="Arial" w:hAnsi="Arial"/>
          <w:b/>
          <w:bCs/>
          <w:color w:val="0D2137"/>
          <w:sz w:val="28"/>
          <w:szCs w:val="28"/>
        </w:rPr>
        <w:t xml:space="preserve">Common Misconceptions in Composer Agreements</w:t>
      </w:r>
    </w:p>
    <w:p>
      <w:pPr>
        <w:spacing w:after="120" w:before="80"/>
        <w:jc w:val="both"/>
      </w:pPr>
      <w:r>
        <w:rPr>
          <w:rFonts w:ascii="Arial" w:cs="Arial" w:eastAsia="Arial" w:hAnsi="Arial"/>
          <w:color w:val="1A1A1A"/>
          <w:sz w:val="22"/>
          <w:szCs w:val="22"/>
        </w:rPr>
        <w:t xml:space="preserve">Work-for-Hire Provisions: Many studios include work-for-hire provisions in composer agreements. As discussed in Chapter 1, a work made for hire vests copyright ownership in the employer or commissioning party rather than the creator—and eliminates the creator's statutory termination right. Composers should resist work-for-hire provisions where possible, or negotiate to exclude publishing rights from the work-for-hire characterization. The distinction matters enormously for long-term royalty income.</w:t>
      </w:r>
    </w:p>
    <w:p>
      <w:pPr>
        <w:spacing w:after="120" w:before="80"/>
        <w:jc w:val="both"/>
      </w:pPr>
      <w:r>
        <w:rPr>
          <w:rFonts w:ascii="Arial" w:cs="Arial" w:eastAsia="Arial" w:hAnsi="Arial"/>
          <w:color w:val="1A1A1A"/>
          <w:sz w:val="22"/>
          <w:szCs w:val="22"/>
        </w:rPr>
        <w:t xml:space="preserve">'At Source' Collection: Some studio agreements provide for the studio to collect performance royalties 'at source' in international territories, rather than allowing the composer's PRO to collect through reciprocal society arrangements. At-source collection by studios can result in unfavorable remittance terms and loss of transparency. Composers should generally insist on direct PRO collection wherever possible.</w:t>
      </w:r>
    </w:p>
    <w:p>
      <w:pPr>
        <w:spacing w:after="0" w:before="120"/>
      </w:pPr>
      <w:r>
        <w:t xml:space="preserve"/>
      </w:r>
    </w:p>
    <w:p>
      <w:pPr>
        <w:spacing w:after="80" w:before="240"/>
      </w:pPr>
      <w:r>
        <w:rPr>
          <w:rFonts w:ascii="Arial" w:cs="Arial" w:eastAsia="Arial" w:hAnsi="Arial"/>
          <w:b/>
          <w:bCs/>
          <w:color w:val="0D2137"/>
          <w:sz w:val="22"/>
          <w:szCs w:val="22"/>
          <w:u w:val="single"/>
        </w:rPr>
        <w:t xml:space="preserve">SHORT FORM COMPOSER AGREEMENT</w:t>
      </w:r>
    </w:p>
    <w:p>
      <w:pPr>
        <w:spacing w:after="80" w:before="80"/>
        <w:ind w:left="720"/>
      </w:pPr>
      <w:r>
        <w:rPr>
          <w:rFonts w:ascii="Courier New" w:cs="Courier New" w:eastAsia="Courier New" w:hAnsi="Courier New"/>
          <w:color w:val="1A1A1A"/>
          <w:sz w:val="20"/>
          <w:szCs w:val="20"/>
        </w:rPr>
        <w:t xml:space="preserve">This Composer Agreement ("Agreement") is entered into as of _______________ between _______________ ("Composer") and _______________ ("Commissioning Party").</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SERVICES. </w:t>
      </w:r>
      <w:r>
        <w:rPr>
          <w:rFonts w:ascii="Courier New" w:cs="Courier New" w:eastAsia="Courier New" w:hAnsi="Courier New"/>
          <w:color w:val="1A1A1A"/>
          <w:sz w:val="20"/>
          <w:szCs w:val="20"/>
        </w:rPr>
        <w:t xml:space="preserve">Composer agrees to compose, arrange, record, and deliver an original musical score (the "Score") for the audiovisual production identified in Schedule A (the "Production"), in accordance with the creative specifications and delivery schedule set forth in Schedule A.</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CREATIVE FEE. </w:t>
      </w:r>
      <w:r>
        <w:rPr>
          <w:rFonts w:ascii="Courier New" w:cs="Courier New" w:eastAsia="Courier New" w:hAnsi="Courier New"/>
          <w:color w:val="1A1A1A"/>
          <w:sz w:val="20"/>
          <w:szCs w:val="20"/>
        </w:rPr>
        <w:t xml:space="preserve">In consideration for the services performed hereunder, Commissioning Party shall pay Composer a creative fee as set forth in Schedule A, payable in the installments specified therein.</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PUBLISHING RIGHTS. </w:t>
      </w:r>
      <w:r>
        <w:rPr>
          <w:rFonts w:ascii="Courier New" w:cs="Courier New" w:eastAsia="Courier New" w:hAnsi="Courier New"/>
          <w:color w:val="1A1A1A"/>
          <w:sz w:val="20"/>
          <w:szCs w:val="20"/>
        </w:rPr>
        <w:t xml:space="preserve">Composer shall retain full ownership of the copyright in the Score. Commissioning Party is granted a perpetual, non-exclusive synchronization license to use the Score in the Production and in all media and formats in which the Production is distributed, worldwide and in perpetuity. No other exploitation rights are granted. Composer shall register all Score compositions with Composer's PRO and shall retain the right to collect performance royalties from all sources.</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CREDIT. </w:t>
      </w:r>
      <w:r>
        <w:rPr>
          <w:rFonts w:ascii="Courier New" w:cs="Courier New" w:eastAsia="Courier New" w:hAnsi="Courier New"/>
          <w:color w:val="1A1A1A"/>
          <w:sz w:val="20"/>
          <w:szCs w:val="20"/>
        </w:rPr>
        <w:t xml:space="preserve">Commissioning Party shall accord Composer a 'Music by [Composer Name]' credit in all copies of the Production and in all advertising and promotional materials where music credits are customarily accorded, subject to customary exclusions.</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WARRANTY. </w:t>
      </w:r>
      <w:r>
        <w:rPr>
          <w:rFonts w:ascii="Courier New" w:cs="Courier New" w:eastAsia="Courier New" w:hAnsi="Courier New"/>
          <w:color w:val="1A1A1A"/>
          <w:sz w:val="20"/>
          <w:szCs w:val="20"/>
        </w:rPr>
        <w:t xml:space="preserve">Composer warrants that the Score is original and does not infringe the copyright of any third party. Composer's liability under this warranty shall be limited to amounts actually received by Composer under this Agreement.</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DELIVERABLES. </w:t>
      </w:r>
      <w:r>
        <w:rPr>
          <w:rFonts w:ascii="Courier New" w:cs="Courier New" w:eastAsia="Courier New" w:hAnsi="Courier New"/>
          <w:color w:val="1A1A1A"/>
          <w:sz w:val="20"/>
          <w:szCs w:val="20"/>
        </w:rPr>
        <w:t xml:space="preserve">Composer shall deliver all items specified in Schedule A by the dates specified therein. Time is of the essence with respect to the delivery schedule.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Clause 3 is the operative publishing rights clause and reflects the pro-composer position: Composer retains copyright, Commissioning Party receives only the synchronization license needed to use the Score in the Production. This structure preserves the composer's right to collect performance royalties, license the Score for other uses (including synchronization in other productions, with appropriate consent provisions), and benefit from long-term copyright ownership. Studios will push back on this structure; the negotiation typically results in a co-publishing arrangement or a share of publishing income being assigned to the studio.</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9: PITCHING AND PLACEMENT AGREEMENTS</w:t>
      </w:r>
    </w:p>
    <w:p>
      <w:pPr>
        <w:pStyle w:val="Heading2"/>
        <w:spacing w:after="180" w:before="360"/>
      </w:pPr>
      <w:r>
        <w:rPr>
          <w:rFonts w:ascii="Arial" w:cs="Arial" w:eastAsia="Arial" w:hAnsi="Arial"/>
          <w:b/>
          <w:bCs/>
          <w:color w:val="0D2137"/>
          <w:sz w:val="28"/>
          <w:szCs w:val="28"/>
        </w:rPr>
        <w:t xml:space="preserve">Introduction</w:t>
      </w:r>
    </w:p>
    <w:p>
      <w:pPr>
        <w:spacing w:after="120" w:before="80"/>
        <w:jc w:val="both"/>
      </w:pPr>
      <w:r>
        <w:rPr>
          <w:rFonts w:ascii="Arial" w:cs="Arial" w:eastAsia="Arial" w:hAnsi="Arial"/>
          <w:color w:val="1A1A1A"/>
          <w:sz w:val="22"/>
          <w:szCs w:val="22"/>
        </w:rPr>
        <w:t xml:space="preserve">Pitching and placement services occupy a distinct and commercially important niche in the music publishing ecosystem. While publishing administrators manage the administrative and collection functions of a catalog, placement companies focus on the active promotion of compositions to music supervisors, advertising agencies, film and television producers, and other commercial users. The placement agreement defines the commercial relationship between the songwriter or publisher and the entity providing these active promotional services.</w:t>
      </w:r>
    </w:p>
    <w:p>
      <w:pPr>
        <w:pStyle w:val="Heading2"/>
        <w:spacing w:after="180" w:before="360"/>
      </w:pPr>
      <w:r>
        <w:rPr>
          <w:rFonts w:ascii="Arial" w:cs="Arial" w:eastAsia="Arial" w:hAnsi="Arial"/>
          <w:b/>
          <w:bCs/>
          <w:color w:val="0D2137"/>
          <w:sz w:val="28"/>
          <w:szCs w:val="28"/>
        </w:rPr>
        <w:t xml:space="preserve">What Does a Placement Company Do?</w:t>
      </w:r>
    </w:p>
    <w:p>
      <w:pPr>
        <w:spacing w:after="120" w:before="80"/>
        <w:jc w:val="both"/>
      </w:pPr>
      <w:r>
        <w:rPr>
          <w:rFonts w:ascii="Arial" w:cs="Arial" w:eastAsia="Arial" w:hAnsi="Arial"/>
          <w:color w:val="1A1A1A"/>
          <w:sz w:val="22"/>
          <w:szCs w:val="22"/>
        </w:rPr>
        <w:t xml:space="preserve">A placement company (also called a music licensing company or music supervision agency) maintains relationships with music supervisors, creative directors, and other decision-makers across the film, television, advertising, and gaming industries. Its primary service is the active pitching of catalog compositions for specific commercial uses—presenting compositions to music supervisors for specific projects, negotiating placement terms, and facilitating license execution.</w:t>
      </w:r>
    </w:p>
    <w:p>
      <w:pPr>
        <w:spacing w:after="120" w:before="80"/>
        <w:jc w:val="both"/>
      </w:pPr>
      <w:r>
        <w:rPr>
          <w:rFonts w:ascii="Arial" w:cs="Arial" w:eastAsia="Arial" w:hAnsi="Arial"/>
          <w:color w:val="1A1A1A"/>
          <w:sz w:val="22"/>
          <w:szCs w:val="22"/>
        </w:rPr>
        <w:t xml:space="preserve">The value proposition of a placement company is its network and expertise: access to buyers that independent publishers and songwriters typically cannot reach, and the knowledge to pitch the right music for the right project at the right time. Effective placement companies maintain curated catalogs rather than attempting to represent all music, because curation is essential to credibility with music supervisors.</w:t>
      </w:r>
    </w:p>
    <w:p>
      <w:pPr>
        <w:pStyle w:val="Heading2"/>
        <w:spacing w:after="180" w:before="360"/>
      </w:pPr>
      <w:r>
        <w:rPr>
          <w:rFonts w:ascii="Arial" w:cs="Arial" w:eastAsia="Arial" w:hAnsi="Arial"/>
          <w:b/>
          <w:bCs/>
          <w:color w:val="0D2137"/>
          <w:sz w:val="28"/>
          <w:szCs w:val="28"/>
        </w:rPr>
        <w:t xml:space="preserve">The Placement Agreement</w:t>
      </w:r>
    </w:p>
    <w:p>
      <w:pPr>
        <w:spacing w:after="120" w:before="80"/>
        <w:jc w:val="both"/>
      </w:pPr>
      <w:r>
        <w:rPr>
          <w:rFonts w:ascii="Arial" w:cs="Arial" w:eastAsia="Arial" w:hAnsi="Arial"/>
          <w:color w:val="1A1A1A"/>
          <w:sz w:val="22"/>
          <w:szCs w:val="22"/>
        </w:rPr>
        <w:t xml:space="preserve">The placement agreement defines: the territory of representation (typically the United States, with separate agreements for other markets); the term of the engagement (typically one to three years); the commission rate (typically 25% to 35% of the sync license fee on placements originated by the placement company); any exclusivity provisions; the licensing authority granted to the placement company (whether it can issue licenses independently or only refer opportunities to the publisher); and the accounting and payment terms.</w:t>
      </w:r>
    </w:p>
    <w:p>
      <w:pPr>
        <w:spacing w:after="120" w:before="80"/>
        <w:jc w:val="both"/>
      </w:pPr>
      <w:r>
        <w:rPr>
          <w:rFonts w:ascii="Arial" w:cs="Arial" w:eastAsia="Arial" w:hAnsi="Arial"/>
          <w:color w:val="1A1A1A"/>
          <w:sz w:val="22"/>
          <w:szCs w:val="22"/>
        </w:rPr>
        <w:t xml:space="preserve">A critical distinction in placement agreements is between exclusive and non-exclusive representation. Under an exclusive agreement, the placement company has the sole right to pitch the represented catalog for sync placements during the term. Under a non-exclusive agreement, the catalog owner may simultaneously engage multiple placement companies and may license directly. Exclusive arrangements are generally disfavored for established publishers and catalog owners; they are more common in agreements with developing songwriters who lack established industry relationships.</w:t>
      </w:r>
    </w:p>
    <w:p>
      <w:pPr>
        <w:pStyle w:val="Heading2"/>
        <w:spacing w:after="180" w:before="360"/>
      </w:pPr>
      <w:r>
        <w:rPr>
          <w:rFonts w:ascii="Arial" w:cs="Arial" w:eastAsia="Arial" w:hAnsi="Arial"/>
          <w:b/>
          <w:bCs/>
          <w:color w:val="0D2137"/>
          <w:sz w:val="28"/>
          <w:szCs w:val="28"/>
        </w:rPr>
        <w:t xml:space="preserve">Benefits to the Artist</w:t>
      </w:r>
    </w:p>
    <w:p>
      <w:pPr>
        <w:spacing w:after="120" w:before="80"/>
        <w:jc w:val="both"/>
      </w:pPr>
      <w:r>
        <w:rPr>
          <w:rFonts w:ascii="Arial" w:cs="Arial" w:eastAsia="Arial" w:hAnsi="Arial"/>
          <w:color w:val="1A1A1A"/>
          <w:sz w:val="22"/>
          <w:szCs w:val="22"/>
        </w:rPr>
        <w:t xml:space="preserve">For songwriters and independent publishers, a placement agreement with an established placement company offers access to commercial markets that would otherwise be inaccessible. A single successful placement in a major motion picture or advertising campaign can generate a sync fee of $25,000 to $200,000 or more—income that substantially exceeds typical streaming and radio performance royalty income for catalog compositions. Additionally, successful placements generate downstream performance royalties from broadcast and streaming of the production.</w:t>
      </w:r>
    </w:p>
    <w:p>
      <w:pPr>
        <w:pStyle w:val="Heading2"/>
        <w:spacing w:after="180" w:before="360"/>
      </w:pPr>
      <w:r>
        <w:rPr>
          <w:rFonts w:ascii="Arial" w:cs="Arial" w:eastAsia="Arial" w:hAnsi="Arial"/>
          <w:b/>
          <w:bCs/>
          <w:color w:val="0D2137"/>
          <w:sz w:val="28"/>
          <w:szCs w:val="28"/>
        </w:rPr>
        <w:t xml:space="preserve">Potential Pitfalls for the Company</w:t>
      </w:r>
    </w:p>
    <w:p>
      <w:pPr>
        <w:spacing w:after="120" w:before="80"/>
        <w:jc w:val="both"/>
      </w:pPr>
      <w:r>
        <w:rPr>
          <w:rFonts w:ascii="Arial" w:cs="Arial" w:eastAsia="Arial" w:hAnsi="Arial"/>
          <w:color w:val="1A1A1A"/>
          <w:sz w:val="22"/>
          <w:szCs w:val="22"/>
        </w:rPr>
        <w:t xml:space="preserve">From the placement company's perspective, the principal risk is investment of significant time and resources in promoting a catalog that generates no placements, yielding zero commission income. Placement companies typically mitigate this risk through catalog selectivity—representing only music that meets their quality and commercial viability standards. Some placement companies charge upfront fees or annual retainer fees to offset their fixed costs, though this model is controversial and less common among reputable firms.</w:t>
      </w:r>
    </w:p>
    <w:p>
      <w:pPr>
        <w:spacing w:after="0" w:before="120"/>
      </w:pPr>
      <w:r>
        <w:t xml:space="preserve"/>
      </w:r>
    </w:p>
    <w:p>
      <w:pPr>
        <w:spacing w:after="80" w:before="240"/>
      </w:pPr>
      <w:r>
        <w:rPr>
          <w:rFonts w:ascii="Arial" w:cs="Arial" w:eastAsia="Arial" w:hAnsi="Arial"/>
          <w:b/>
          <w:bCs/>
          <w:color w:val="0D2137"/>
          <w:sz w:val="22"/>
          <w:szCs w:val="22"/>
          <w:u w:val="single"/>
        </w:rPr>
        <w:t xml:space="preserve">EXCLUSIVE REPRESENTATION AGREEMENT</w:t>
      </w:r>
    </w:p>
    <w:p>
      <w:pPr>
        <w:spacing w:after="80" w:before="80"/>
        <w:ind w:left="720"/>
      </w:pPr>
      <w:r>
        <w:rPr>
          <w:rFonts w:ascii="Courier New" w:cs="Courier New" w:eastAsia="Courier New" w:hAnsi="Courier New"/>
          <w:color w:val="1A1A1A"/>
          <w:sz w:val="20"/>
          <w:szCs w:val="20"/>
        </w:rPr>
        <w:t xml:space="preserve">This Exclusive Representation Agreement ("Agreement") is entered into as of _______________ between _______________ ("Rights Holder") and _______________ ("Placement Company").</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OF REPRESENTATION RIGHTS. </w:t>
      </w:r>
      <w:r>
        <w:rPr>
          <w:rFonts w:ascii="Courier New" w:cs="Courier New" w:eastAsia="Courier New" w:hAnsi="Courier New"/>
          <w:color w:val="1A1A1A"/>
          <w:sz w:val="20"/>
          <w:szCs w:val="20"/>
        </w:rPr>
        <w:t xml:space="preserve">Rights Holder hereby grants to Placement Company the exclusive right to pitch, promote, and place the musical compositions listed in Schedule A (the "Catalog") for synchronization in audiovisual productions, including film, television, advertising, and interactive media, within the United States, during the Term.</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TERM. </w:t>
      </w:r>
      <w:r>
        <w:rPr>
          <w:rFonts w:ascii="Courier New" w:cs="Courier New" w:eastAsia="Courier New" w:hAnsi="Courier New"/>
          <w:color w:val="1A1A1A"/>
          <w:sz w:val="20"/>
          <w:szCs w:val="20"/>
        </w:rPr>
        <w:t xml:space="preserve">The initial term of this Agreement shall be two (2) years commencing on the date hereof. The Agreement may be renewed for additional one-year periods by mutual written agreement.</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COMMISSION. </w:t>
      </w:r>
      <w:r>
        <w:rPr>
          <w:rFonts w:ascii="Courier New" w:cs="Courier New" w:eastAsia="Courier New" w:hAnsi="Courier New"/>
          <w:color w:val="1A1A1A"/>
          <w:sz w:val="20"/>
          <w:szCs w:val="20"/>
        </w:rPr>
        <w:t xml:space="preserve">Placement Company shall be entitled to retain a commission of 30% of the gross sync license fee on each placement originated by Placement Company. 'Originated' means a placement in which Placement Company made the initial pitch to the licensee. Placements initiated directly by Rights Holder are not subject to commission.</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LICENSING AUTHORITY. </w:t>
      </w:r>
      <w:r>
        <w:rPr>
          <w:rFonts w:ascii="Courier New" w:cs="Courier New" w:eastAsia="Courier New" w:hAnsi="Courier New"/>
          <w:color w:val="1A1A1A"/>
          <w:sz w:val="20"/>
          <w:szCs w:val="20"/>
        </w:rPr>
        <w:t xml:space="preserve">Placement Company is authorized to issue non-exclusive sync licenses for Catalog compositions up to a license fee of $5,000 without prior approval of Rights Holder. Licenses in excess of $5,000 require Rights Holder's prior written approval. Rights Holder's approval or rejection shall be communicated within three (3) business days of Placement Company's notice.</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ACCOUNTING. </w:t>
      </w:r>
      <w:r>
        <w:rPr>
          <w:rFonts w:ascii="Courier New" w:cs="Courier New" w:eastAsia="Courier New" w:hAnsi="Courier New"/>
          <w:color w:val="1A1A1A"/>
          <w:sz w:val="20"/>
          <w:szCs w:val="20"/>
        </w:rPr>
        <w:t xml:space="preserve">Placement Company shall render statements of account and remit net amounts due to Rights Holder within 30 days of receipt of each license fee. No deductions shall be made from license fees other than the agreed commission.</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TERMINATION. </w:t>
      </w:r>
      <w:r>
        <w:rPr>
          <w:rFonts w:ascii="Courier New" w:cs="Courier New" w:eastAsia="Courier New" w:hAnsi="Courier New"/>
          <w:color w:val="1A1A1A"/>
          <w:sz w:val="20"/>
          <w:szCs w:val="20"/>
        </w:rPr>
        <w:t xml:space="preserve">Either party may terminate this Agreement upon 90 days written notice. Upon termination, Placement Company shall have no authority to issue new licenses; licenses executed prior to termination shall remain in effect for their stated terms.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Clause 4's tiered approval structure—small deals auto-approved, larger deals require sign-off—is a practical efficiency mechanism. The $5,000 threshold is typical for mid-catalog representation; for high-value compositions, this threshold should be lower. Clause 3's 'originated' definition is critical: it prevents commission claims on deals that Rights Holder brings independently after signing with the Placement Company.</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10: PRODUCTION MUSIC LIBRARIES</w:t>
      </w:r>
    </w:p>
    <w:p>
      <w:pPr>
        <w:pStyle w:val="Heading2"/>
        <w:spacing w:after="180" w:before="360"/>
      </w:pPr>
      <w:r>
        <w:rPr>
          <w:rFonts w:ascii="Arial" w:cs="Arial" w:eastAsia="Arial" w:hAnsi="Arial"/>
          <w:b/>
          <w:bCs/>
          <w:color w:val="0D2137"/>
          <w:sz w:val="28"/>
          <w:szCs w:val="28"/>
        </w:rPr>
        <w:t xml:space="preserve">Introduction</w:t>
      </w:r>
    </w:p>
    <w:p>
      <w:pPr>
        <w:spacing w:after="120" w:before="80"/>
        <w:jc w:val="both"/>
      </w:pPr>
      <w:r>
        <w:rPr>
          <w:rFonts w:ascii="Arial" w:cs="Arial" w:eastAsia="Arial" w:hAnsi="Arial"/>
          <w:color w:val="1A1A1A"/>
          <w:sz w:val="22"/>
          <w:szCs w:val="22"/>
        </w:rPr>
        <w:t xml:space="preserve">Production music libraries—also known as stock music libraries or music production libraries—license pre-cleared compositions for use in audiovisual productions without the need for individual negotiation with individual copyright owners. They serve the needs of producers, broadcasters, advertising agencies, and content creators who require music for production use on a fast, cost-effective, and legally certain basis.</w:t>
      </w:r>
    </w:p>
    <w:p>
      <w:pPr>
        <w:spacing w:after="120" w:before="80"/>
        <w:jc w:val="both"/>
      </w:pPr>
      <w:r>
        <w:rPr>
          <w:rFonts w:ascii="Arial" w:cs="Arial" w:eastAsia="Arial" w:hAnsi="Arial"/>
          <w:color w:val="1A1A1A"/>
          <w:sz w:val="22"/>
          <w:szCs w:val="22"/>
        </w:rPr>
        <w:t xml:space="preserve">From a publishing administration perspective, the production library business model is an alternative commercialization pathway for certain categories of music—particularly instrumental background music, genre and mood compositions, and functional music that lacks the distinctive commercial identity required for traditional sync licensing. Library music generates consistent, if modest, royalty income through a high volume of individual uses.</w:t>
      </w:r>
    </w:p>
    <w:p>
      <w:pPr>
        <w:pStyle w:val="Heading2"/>
        <w:spacing w:after="180" w:before="360"/>
      </w:pPr>
      <w:r>
        <w:rPr>
          <w:rFonts w:ascii="Arial" w:cs="Arial" w:eastAsia="Arial" w:hAnsi="Arial"/>
          <w:b/>
          <w:bCs/>
          <w:color w:val="0D2137"/>
          <w:sz w:val="28"/>
          <w:szCs w:val="28"/>
        </w:rPr>
        <w:t xml:space="preserve">Library Composer Agreements</w:t>
      </w:r>
    </w:p>
    <w:p>
      <w:pPr>
        <w:spacing w:after="120" w:before="80"/>
        <w:jc w:val="both"/>
      </w:pPr>
      <w:r>
        <w:rPr>
          <w:rFonts w:ascii="Arial" w:cs="Arial" w:eastAsia="Arial" w:hAnsi="Arial"/>
          <w:color w:val="1A1A1A"/>
          <w:sz w:val="22"/>
          <w:szCs w:val="22"/>
        </w:rPr>
        <w:t xml:space="preserve">A library composer agreement engages a composer to create music specifically for inclusion in a production library. Key terms include: the creative fee (often modest or zero, with the library providing recording costs as a non-recoupable benefit); the library's rights in the delivered music (typically a full assignment or exclusive license for library distribution); and the composer's royalty participation (a percentage of license fees collected, or ASCAP/BMI performance royalties as the primary income source).</w:t>
      </w:r>
    </w:p>
    <w:p>
      <w:pPr>
        <w:spacing w:after="120" w:before="80"/>
        <w:jc w:val="both"/>
      </w:pPr>
      <w:r>
        <w:rPr>
          <w:rFonts w:ascii="Arial" w:cs="Arial" w:eastAsia="Arial" w:hAnsi="Arial"/>
          <w:color w:val="1A1A1A"/>
          <w:sz w:val="22"/>
          <w:szCs w:val="22"/>
        </w:rPr>
        <w:t xml:space="preserve">The most significant issue in library composer agreements is the scope of the rights granted to the library. Some libraries acquire full copyright ownership from composers. Others operate on an exclusive licensing basis. Still others use non-exclusive arrangements. The scope of rights directly determines the composer's long-term participation in the music's commercial exploitation.</w:t>
      </w:r>
    </w:p>
    <w:p>
      <w:pPr>
        <w:pStyle w:val="Heading2"/>
        <w:spacing w:after="180" w:before="360"/>
      </w:pPr>
      <w:r>
        <w:rPr>
          <w:rFonts w:ascii="Arial" w:cs="Arial" w:eastAsia="Arial" w:hAnsi="Arial"/>
          <w:b/>
          <w:bCs/>
          <w:color w:val="0D2137"/>
          <w:sz w:val="28"/>
          <w:szCs w:val="28"/>
        </w:rPr>
        <w:t xml:space="preserve">Re-titling Agreements</w:t>
      </w:r>
    </w:p>
    <w:p>
      <w:pPr>
        <w:spacing w:after="120" w:before="80"/>
        <w:jc w:val="both"/>
      </w:pPr>
      <w:r>
        <w:rPr>
          <w:rFonts w:ascii="Arial" w:cs="Arial" w:eastAsia="Arial" w:hAnsi="Arial"/>
          <w:color w:val="1A1A1A"/>
          <w:sz w:val="22"/>
          <w:szCs w:val="22"/>
        </w:rPr>
        <w:t xml:space="preserve">Re-titling is a controversial practice in the production library business. Under a re-titling arrangement, the library registers the same composition under a different title as a separate work in PRO databases. This allows the library to collect the publisher's share of performance royalties on the re-titled composition through its own publisher affiliation, in addition to any license fees collected. Critics argue that re-titling is a deceptive practice that artificially splits performance royalty income and creates PRO database confusion. ASCAP and BMI have implemented policies to restrict re-titling abuses, but the practice persists.</w:t>
      </w:r>
    </w:p>
    <w:p>
      <w:pPr>
        <w:pStyle w:val="Heading2"/>
        <w:spacing w:after="180" w:before="360"/>
      </w:pPr>
      <w:r>
        <w:rPr>
          <w:rFonts w:ascii="Arial" w:cs="Arial" w:eastAsia="Arial" w:hAnsi="Arial"/>
          <w:b/>
          <w:bCs/>
          <w:color w:val="0D2137"/>
          <w:sz w:val="28"/>
          <w:szCs w:val="28"/>
        </w:rPr>
        <w:t xml:space="preserve">Library Licensing Agreements</w:t>
      </w:r>
    </w:p>
    <w:p>
      <w:pPr>
        <w:spacing w:after="120" w:before="80"/>
        <w:jc w:val="both"/>
      </w:pPr>
      <w:r>
        <w:rPr>
          <w:rFonts w:ascii="Arial" w:cs="Arial" w:eastAsia="Arial" w:hAnsi="Arial"/>
          <w:color w:val="1A1A1A"/>
          <w:sz w:val="22"/>
          <w:szCs w:val="22"/>
        </w:rPr>
        <w:t xml:space="preserve">Library licensees—broadcasters, production companies, advertising agencies—typically access library catalogs through blanket licenses: a single fee that provides access to the entire library for a defined term, territory, and set of uses. Blanket license fees vary widely based on the size and quality of the library, the licensee category, and the licensed media. Individual cue licenses for specific uses in specific productions are also available through most major libraries.</w:t>
      </w:r>
    </w:p>
    <w:p>
      <w:pPr>
        <w:spacing w:after="0" w:before="120"/>
      </w:pPr>
      <w:r>
        <w:t xml:space="preserve"/>
      </w:r>
    </w:p>
    <w:p>
      <w:pPr>
        <w:spacing w:after="80" w:before="240"/>
      </w:pPr>
      <w:r>
        <w:rPr>
          <w:rFonts w:ascii="Arial" w:cs="Arial" w:eastAsia="Arial" w:hAnsi="Arial"/>
          <w:b/>
          <w:bCs/>
          <w:color w:val="0D2137"/>
          <w:sz w:val="22"/>
          <w:szCs w:val="22"/>
          <w:u w:val="single"/>
        </w:rPr>
        <w:t xml:space="preserve">NON-EXCLUSIVE LIBRARY PLACEMENT AGREEMENT</w:t>
      </w:r>
    </w:p>
    <w:p>
      <w:pPr>
        <w:spacing w:after="80" w:before="80"/>
        <w:ind w:left="720"/>
      </w:pPr>
      <w:r>
        <w:rPr>
          <w:rFonts w:ascii="Courier New" w:cs="Courier New" w:eastAsia="Courier New" w:hAnsi="Courier New"/>
          <w:color w:val="1A1A1A"/>
          <w:sz w:val="20"/>
          <w:szCs w:val="20"/>
        </w:rPr>
        <w:t xml:space="preserve">This Non-Exclusive Library Placement Agreement is entered into as of _______________ between _______________ ("Composer/Publisher") and _______________ ("Library").</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OF NON-EXCLUSIVE LICENSE. </w:t>
      </w:r>
      <w:r>
        <w:rPr>
          <w:rFonts w:ascii="Courier New" w:cs="Courier New" w:eastAsia="Courier New" w:hAnsi="Courier New"/>
          <w:color w:val="1A1A1A"/>
          <w:sz w:val="20"/>
          <w:szCs w:val="20"/>
        </w:rPr>
        <w:t xml:space="preserve">Composer/Publisher grants to Library a non-exclusive license to include the musical compositions listed in Schedule A in Library's catalog and to license such compositions on a non-exclusive basis to end users for synchronization in audiovisual productions, subject to the terms hereof.</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RETAINED RIGHTS. </w:t>
      </w:r>
      <w:r>
        <w:rPr>
          <w:rFonts w:ascii="Courier New" w:cs="Courier New" w:eastAsia="Courier New" w:hAnsi="Courier New"/>
          <w:color w:val="1A1A1A"/>
          <w:sz w:val="20"/>
          <w:szCs w:val="20"/>
        </w:rPr>
        <w:t xml:space="preserve">Composer/Publisher retains all copyright ownership and all rights not expressly granted herein, including without limitation the right to license the Compositions directly and to appoint other non-exclusive representatives.</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REVENUE SHARE. </w:t>
      </w:r>
      <w:r>
        <w:rPr>
          <w:rFonts w:ascii="Courier New" w:cs="Courier New" w:eastAsia="Courier New" w:hAnsi="Courier New"/>
          <w:color w:val="1A1A1A"/>
          <w:sz w:val="20"/>
          <w:szCs w:val="20"/>
        </w:rPr>
        <w:t xml:space="preserve">Library shall be entitled to retain 50% of all license fees received in connection with Compositions licensed through Library. The remaining 50% shall be remitted to Composer/Publisher within 30 days of receipt.</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PERFORMANCE ROYALTIES. </w:t>
      </w:r>
      <w:r>
        <w:rPr>
          <w:rFonts w:ascii="Courier New" w:cs="Courier New" w:eastAsia="Courier New" w:hAnsi="Courier New"/>
          <w:color w:val="1A1A1A"/>
          <w:sz w:val="20"/>
          <w:szCs w:val="20"/>
        </w:rPr>
        <w:t xml:space="preserve">Library shall not collect or register to collect the publisher's share of performance royalties on any Composition without Composer/Publisher's prior written consent. All PRO registrations for the Compositions shall reflect Composer/Publisher's designated publisher.</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NO RE-TITLING. </w:t>
      </w:r>
      <w:r>
        <w:rPr>
          <w:rFonts w:ascii="Courier New" w:cs="Courier New" w:eastAsia="Courier New" w:hAnsi="Courier New"/>
          <w:color w:val="1A1A1A"/>
          <w:sz w:val="20"/>
          <w:szCs w:val="20"/>
        </w:rPr>
        <w:t xml:space="preserve">Library shall not re-title, re-register, or create derivative registrations of any Composition in any PRO database or performing rights system without Composer/Publisher's prior written consent.</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TERM AND TERMINATION. </w:t>
      </w:r>
      <w:r>
        <w:rPr>
          <w:rFonts w:ascii="Courier New" w:cs="Courier New" w:eastAsia="Courier New" w:hAnsi="Courier New"/>
          <w:color w:val="1A1A1A"/>
          <w:sz w:val="20"/>
          <w:szCs w:val="20"/>
        </w:rPr>
        <w:t xml:space="preserve">This Agreement shall remain in effect until terminated by either party upon 60 days written notice. Licenses executed prior to termination shall remain in effect for their stated terms.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Clause 5's explicit prohibition on re-titling is essential for any publisher entering a library relationship. Re-titling has cost composers and publishers significant performance royalty income and created catalog management nightmares. The Clause 4 performance royalty protection is equally critical—many library agreements attempt to capture the publisher's share of performance royalties by registering re-titled compositions under the library's publisher affiliation. These protections should be non-negotiable for any MusiGod client engaging with production libraries.</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11: SAMPLING</w:t>
      </w:r>
    </w:p>
    <w:p>
      <w:pPr>
        <w:pStyle w:val="Heading2"/>
        <w:spacing w:after="180" w:before="360"/>
      </w:pPr>
      <w:r>
        <w:rPr>
          <w:rFonts w:ascii="Arial" w:cs="Arial" w:eastAsia="Arial" w:hAnsi="Arial"/>
          <w:b/>
          <w:bCs/>
          <w:color w:val="0D2137"/>
          <w:sz w:val="28"/>
          <w:szCs w:val="28"/>
        </w:rPr>
        <w:t xml:space="preserve">Overview and Legal Framework</w:t>
      </w:r>
    </w:p>
    <w:p>
      <w:pPr>
        <w:spacing w:after="120" w:before="80"/>
        <w:jc w:val="both"/>
      </w:pPr>
      <w:r>
        <w:rPr>
          <w:rFonts w:ascii="Arial" w:cs="Arial" w:eastAsia="Arial" w:hAnsi="Arial"/>
          <w:color w:val="1A1A1A"/>
          <w:sz w:val="22"/>
          <w:szCs w:val="22"/>
        </w:rPr>
        <w:t xml:space="preserve">Sampling—the use of a portion of a pre-existing sound recording in a new composition and recording—is one of the most legally complex areas of music publishing. A sample use implicates two separate copyrights: the copyright in the musical composition (the song) and the copyright in the sound recording (the master). Clearance of both rights is required for any commercial use. Failure to clear either right prior to distribution constitutes copyright infringement.</w:t>
      </w:r>
    </w:p>
    <w:p>
      <w:pPr>
        <w:spacing w:after="120" w:before="80"/>
        <w:jc w:val="both"/>
      </w:pPr>
      <w:r>
        <w:rPr>
          <w:rFonts w:ascii="Arial" w:cs="Arial" w:eastAsia="Arial" w:hAnsi="Arial"/>
          <w:color w:val="1A1A1A"/>
          <w:sz w:val="22"/>
          <w:szCs w:val="22"/>
        </w:rPr>
        <w:t xml:space="preserve">The legal landscape for sampling was fundamentally shaped by Bridgeport Music, Inc. v. Dimension Films (6th Cir. 2005), in which the Sixth Circuit held that any sampling of a sound recording—no matter how brief—requires a license. The court's bright-line rule eliminated the de minimis defense for sound recording samples that some lower courts had recognized, establishing that 'get a license or do not sample' is the operative legal standard in the Sixth Circuit.</w:t>
      </w:r>
    </w:p>
    <w:p>
      <w:pPr>
        <w:spacing w:after="120" w:before="80"/>
        <w:jc w:val="both"/>
      </w:pPr>
      <w:r>
        <w:rPr>
          <w:rFonts w:ascii="Arial" w:cs="Arial" w:eastAsia="Arial" w:hAnsi="Arial"/>
          <w:color w:val="1A1A1A"/>
          <w:sz w:val="22"/>
          <w:szCs w:val="22"/>
        </w:rPr>
        <w:t xml:space="preserve">Subsequent courts have not uniformly adopted the Bridgeport bright-line rule. The Ninth Circuit, in VMG Salsoul v. Ciccone (2016), declined to follow Bridgeport and held that the de minimis doctrine applies to sound recording samples. The circuit split remains unresolved, creating geographic legal uncertainty. For practical purposes, any commercial release intended for national distribution should clear all samples regardless of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1: </w:t>
            </w:r>
            <w:r>
              <w:rPr>
                <w:rFonts w:ascii="Arial" w:cs="Arial" w:eastAsia="Arial" w:hAnsi="Arial"/>
                <w:b/>
                <w:bCs/>
                <w:color w:val="FFFFFF"/>
                <w:sz w:val="22"/>
                <w:szCs w:val="22"/>
              </w:rPr>
              <w:t xml:space="preserve">UNCLEARED SAMPLE — DISCOVERY POST-RELEASE</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hip-hop producer releases an album through an independent distributor. Track 3 contains a two-bar loop of a 1970s soul recording that was not cleared prior to release. The album achieves significant commercial success, generating 15 million streams and $45,000 in digital revenues.</w:t>
      </w:r>
    </w:p>
    <w:p>
      <w:pPr>
        <w:spacing w:after="120" w:before="80"/>
        <w:jc w:val="both"/>
      </w:pPr>
      <w:r>
        <w:rPr>
          <w:rFonts w:ascii="Arial" w:cs="Arial" w:eastAsia="Arial" w:hAnsi="Arial"/>
          <w:color w:val="1A1A1A"/>
          <w:sz w:val="22"/>
          <w:szCs w:val="22"/>
        </w:rPr>
        <w:t xml:space="preserve">Issue: The rights holders in the sampled sound recording and the underlying composition identify the uncleared use and serve a cease-and-desist letter demanding an accounting of all income derived from the track and threatening infringement litigation.</w:t>
      </w:r>
    </w:p>
    <w:p>
      <w:pPr>
        <w:spacing w:after="120" w:before="80"/>
        <w:jc w:val="both"/>
      </w:pPr>
      <w:r>
        <w:rPr>
          <w:rFonts w:ascii="Arial" w:cs="Arial" w:eastAsia="Arial" w:hAnsi="Arial"/>
          <w:color w:val="1A1A1A"/>
          <w:sz w:val="22"/>
          <w:szCs w:val="22"/>
        </w:rPr>
        <w:t xml:space="preserve">Analysis: Both the sound recording copyright owner (the record label) and the composition copyright owner (the publisher) have viable infringement claims. The producer's exposure includes: actual damages (a percentage of revenues attributable to the infringing track), statutory damages (up to $150,000 per work for willful infringement), injunctive relief (takedown of the album from all distribution platforms), and attorneys' fees. Given the commercial success of the release, the rights holders are incentivized to pursue aggressive remedies.</w:t>
      </w:r>
    </w:p>
    <w:p>
      <w:pPr>
        <w:spacing w:after="120" w:before="80"/>
        <w:jc w:val="both"/>
      </w:pPr>
      <w:r>
        <w:rPr>
          <w:rFonts w:ascii="Arial" w:cs="Arial" w:eastAsia="Arial" w:hAnsi="Arial"/>
          <w:color w:val="1A1A1A"/>
          <w:sz w:val="22"/>
          <w:szCs w:val="22"/>
        </w:rPr>
        <w:t xml:space="preserve">Resolution: Producer's counsel negotiates a retroactive sample clearance. The label agrees to release the claim in exchange for a one-time payment of $25,000 (representing an approximation of the master use fee that would have been charged pre-release) plus a 4% royalty on all future net receipts attributable to the track. The publisher similarly agrees to release the composition claim for $10,000 plus a 2% mechanical royalty on future income from the track.</w:t>
      </w:r>
    </w:p>
    <w:p>
      <w:pPr>
        <w:spacing w:after="120" w:before="80"/>
        <w:jc w:val="both"/>
      </w:pPr>
      <w:r>
        <w:rPr>
          <w:rFonts w:ascii="Arial" w:cs="Arial" w:eastAsia="Arial" w:hAnsi="Arial"/>
          <w:color w:val="1A1A1A"/>
          <w:sz w:val="22"/>
          <w:szCs w:val="22"/>
        </w:rPr>
        <w:t xml:space="preserve">Outcome: Total retroactive clearance cost: $35,000 in immediate payments plus ongoing royalties on all future exploitation. The financial and operational disruption—including a 30-day takedown while negotiations proceeded—significantly impaired the commercial momentum of the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This case illustrates the fundamental risk calculus of uncleared sampling: the cost of retroactive clearance is invariably higher than the cost of clearing upfront, and the disruption to a commercial release can be commercially catastrophic. Publishing administrators should conduct mandatory sample clearance reviews for all client releases prior to distribution.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2: </w:t>
            </w:r>
            <w:r>
              <w:rPr>
                <w:rFonts w:ascii="Arial" w:cs="Arial" w:eastAsia="Arial" w:hAnsi="Arial"/>
                <w:b/>
                <w:bCs/>
                <w:color w:val="FFFFFF"/>
                <w:sz w:val="22"/>
                <w:szCs w:val="22"/>
              </w:rPr>
              <w:t xml:space="preserve">SAMPLE CLEARANCE NEGOTIATION — INTERPOLATION VS. SAMPLE</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songwriter wishes to use a well-known melodic phrase from a 1980s pop hit in a new composition. The songwriter proposes to re-record the phrase rather than sample the original master recording, on the theory that this approach requires only a composition license and avoids the need for a master use license.</w:t>
      </w:r>
    </w:p>
    <w:p>
      <w:pPr>
        <w:spacing w:after="120" w:before="80"/>
        <w:jc w:val="both"/>
      </w:pPr>
      <w:r>
        <w:rPr>
          <w:rFonts w:ascii="Arial" w:cs="Arial" w:eastAsia="Arial" w:hAnsi="Arial"/>
          <w:color w:val="1A1A1A"/>
          <w:sz w:val="22"/>
          <w:szCs w:val="22"/>
        </w:rPr>
        <w:t xml:space="preserve">Issue: Does re-recording the melodic phrase (an interpolation) eliminate the need for a master use license?</w:t>
      </w:r>
    </w:p>
    <w:p>
      <w:pPr>
        <w:spacing w:after="120" w:before="80"/>
        <w:jc w:val="both"/>
      </w:pPr>
      <w:r>
        <w:rPr>
          <w:rFonts w:ascii="Arial" w:cs="Arial" w:eastAsia="Arial" w:hAnsi="Arial"/>
          <w:color w:val="1A1A1A"/>
          <w:sz w:val="22"/>
          <w:szCs w:val="22"/>
        </w:rPr>
        <w:t xml:space="preserve">Analysis: An interpolation—re-recording a melodic phrase from an existing composition—does require a license from the composition copyright owner (since it reproduces protected expression from the composition) but does not require a master use license (since the original sound recording is not used). However, the interpolation must not reproduce the original sound recording itself—it must be an independent re-recording.</w:t>
      </w:r>
    </w:p>
    <w:p>
      <w:pPr>
        <w:spacing w:after="120" w:before="80"/>
        <w:jc w:val="both"/>
      </w:pPr>
      <w:r>
        <w:rPr>
          <w:rFonts w:ascii="Arial" w:cs="Arial" w:eastAsia="Arial" w:hAnsi="Arial"/>
          <w:color w:val="1A1A1A"/>
          <w:sz w:val="22"/>
          <w:szCs w:val="22"/>
        </w:rPr>
        <w:t xml:space="preserve">Resolution: Songwriter obtains a composition license (covering the reproduction of the melodic phrase in a new recording) from the publisher of the sampled composition. The license is negotiated as a co-writer credit with an agreed ownership split: 25% of the new composition is assigned to the publisher of the original composition. No master use license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Interpolations are frequently preferable to direct samples when the master recording rights owner demands an unreasonable master use fee or refuses to license. The tradeoff is a composition ownership concession that may be substantial. Publishers evaluating interpolation requests must assess whether the proposed co-writer credit and ownership split reflects the proportional contribution of the borrowed material to the new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3: </w:t>
            </w:r>
            <w:r>
              <w:rPr>
                <w:rFonts w:ascii="Arial" w:cs="Arial" w:eastAsia="Arial" w:hAnsi="Arial"/>
                <w:b/>
                <w:bCs/>
                <w:color w:val="FFFFFF"/>
                <w:sz w:val="22"/>
                <w:szCs w:val="22"/>
              </w:rPr>
              <w:t xml:space="preserve">SAMPLE CO-ADMINISTRATION — MULTI-PARTY ROYALTY SPLIT</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commercially successful hip-hop track samples a jazz composition from 1962. The sampled composition has three co-writers whose publishing rights are administered by three separate publishers. The new composition also has two co-writers. The resulting work has five contributing parties with overlapping publishing interests.</w:t>
      </w:r>
    </w:p>
    <w:p>
      <w:pPr>
        <w:spacing w:after="120" w:before="80"/>
        <w:jc w:val="both"/>
      </w:pPr>
      <w:r>
        <w:rPr>
          <w:rFonts w:ascii="Arial" w:cs="Arial" w:eastAsia="Arial" w:hAnsi="Arial"/>
          <w:color w:val="1A1A1A"/>
          <w:sz w:val="22"/>
          <w:szCs w:val="22"/>
        </w:rPr>
        <w:t xml:space="preserve">Issue: How are mechanical and performance royalties allocated among five parties with different ownership stakes in the new composition?</w:t>
      </w:r>
    </w:p>
    <w:p>
      <w:pPr>
        <w:spacing w:after="120" w:before="80"/>
        <w:jc w:val="both"/>
      </w:pPr>
      <w:r>
        <w:rPr>
          <w:rFonts w:ascii="Arial" w:cs="Arial" w:eastAsia="Arial" w:hAnsi="Arial"/>
          <w:color w:val="1A1A1A"/>
          <w:sz w:val="22"/>
          <w:szCs w:val="22"/>
        </w:rPr>
        <w:t xml:space="preserve">Analysis: The parties must agree on a co-administration structure that specifies: (1) the ownership percentage of each party in the new composition; (2) the publisher responsible for primary administration (registrations, licensing); and (3) the flow-of-funds mechanism for distributing royalties among co-administrators. Without a written co-administration agreement, the parties risk conflicting PRO registrations, duplicate licensing, and royalty payment disputes.</w:t>
      </w:r>
    </w:p>
    <w:p>
      <w:pPr>
        <w:spacing w:after="120" w:before="80"/>
        <w:jc w:val="both"/>
      </w:pPr>
      <w:r>
        <w:rPr>
          <w:rFonts w:ascii="Arial" w:cs="Arial" w:eastAsia="Arial" w:hAnsi="Arial"/>
          <w:color w:val="1A1A1A"/>
          <w:sz w:val="22"/>
          <w:szCs w:val="22"/>
        </w:rPr>
        <w:t xml:space="preserve">Resolution: The parties execute a Sampling Co-Administration Agreement (see template below) specifying ownership splits of 40% (Producer/Co-writer 1), 20% (Co-writer 2), and 40% allocated to the sampled composition's three publishers on a 20%/12%/8% basis. The Producer's publisher is designated as the primary administrator, responsible for PRO registration, mechanical licensing through the MLC, and sync licensing. Royalties are distributed quarterly from primary administrator to co-administrators based on their respective shares.</w:t>
      </w:r>
    </w:p>
    <w:p>
      <w:pPr>
        <w:spacing w:after="0" w:before="120"/>
      </w:pPr>
      <w:r>
        <w:t xml:space="preserve"/>
      </w:r>
    </w:p>
    <w:p>
      <w:pPr>
        <w:spacing w:after="80" w:before="240"/>
      </w:pPr>
      <w:r>
        <w:rPr>
          <w:rFonts w:ascii="Arial" w:cs="Arial" w:eastAsia="Arial" w:hAnsi="Arial"/>
          <w:b/>
          <w:bCs/>
          <w:color w:val="0D2137"/>
          <w:sz w:val="22"/>
          <w:szCs w:val="22"/>
          <w:u w:val="single"/>
        </w:rPr>
        <w:t xml:space="preserve">SAMPLING CO-ADMINISTRATION AGREEMENT</w:t>
      </w:r>
    </w:p>
    <w:p>
      <w:pPr>
        <w:spacing w:after="80" w:before="80"/>
        <w:ind w:left="720"/>
      </w:pPr>
      <w:r>
        <w:rPr>
          <w:rFonts w:ascii="Courier New" w:cs="Courier New" w:eastAsia="Courier New" w:hAnsi="Courier New"/>
          <w:color w:val="1A1A1A"/>
          <w:sz w:val="20"/>
          <w:szCs w:val="20"/>
        </w:rPr>
        <w:t xml:space="preserve">This Sampling Co-Administration Agreement ("Agreement") is entered into as of _______________ among the parties identified in Schedule A (each a "Co-Administrator" and collectively "Co-Administrators").</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THE NEW COMPOSITION. </w:t>
      </w:r>
      <w:r>
        <w:rPr>
          <w:rFonts w:ascii="Courier New" w:cs="Courier New" w:eastAsia="Courier New" w:hAnsi="Courier New"/>
          <w:color w:val="1A1A1A"/>
          <w:sz w:val="20"/>
          <w:szCs w:val="20"/>
        </w:rPr>
        <w:t xml:space="preserve">This Agreement pertains to the musical composition identified in Schedule A (the "New Composition"), which incorporates an interpolation or sample of the composition(s) identified in Schedule B (the "Source Composition(s)").</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OWNERSHIP SPLITS. </w:t>
      </w:r>
      <w:r>
        <w:rPr>
          <w:rFonts w:ascii="Courier New" w:cs="Courier New" w:eastAsia="Courier New" w:hAnsi="Courier New"/>
          <w:color w:val="1A1A1A"/>
          <w:sz w:val="20"/>
          <w:szCs w:val="20"/>
        </w:rPr>
        <w:t xml:space="preserve">The ownership of the New Composition is divided among the Co-Administrators as set forth in Schedule C. Each Co-Administrator acknowledges and agrees to the allocation set forth therein. The aggregate ownership percentages shall equal 100%.</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PRIMARY ADMINISTRATOR. </w:t>
      </w:r>
      <w:r>
        <w:rPr>
          <w:rFonts w:ascii="Courier New" w:cs="Courier New" w:eastAsia="Courier New" w:hAnsi="Courier New"/>
          <w:color w:val="1A1A1A"/>
          <w:sz w:val="20"/>
          <w:szCs w:val="20"/>
        </w:rPr>
        <w:t xml:space="preserve">The Co-Administrator designated as Primary Administrator in Schedule A shall be responsible for: (a) registering the New Composition with all applicable PROs and the MLC, reflecting the co-ownership structure; (b) issuing mechanical licenses for the New Composition on behalf of all Co-Administrators; (c) administering synchronization license requests and referring all sync requests to Co-Administrators requiring approval; and (d) distributing royalties collected on behalf of all Co-Administrators in accordance with the ownership splits in Schedule C.</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DISTRIBUTION. </w:t>
      </w:r>
      <w:r>
        <w:rPr>
          <w:rFonts w:ascii="Courier New" w:cs="Courier New" w:eastAsia="Courier New" w:hAnsi="Courier New"/>
          <w:color w:val="1A1A1A"/>
          <w:sz w:val="20"/>
          <w:szCs w:val="20"/>
        </w:rPr>
        <w:t xml:space="preserve">Primary Administrator shall distribute royalties and license fees to Co-Administrators within 30 days of receipt. Each distribution shall be accompanied by a statement identifying the source and amount of income received. Primary Administrator shall be entitled to retain an administration fee of ___ % of gross receipts, to be agreed among all Co-Administrators.</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SYNC LICENSE APPROVALS. </w:t>
      </w:r>
      <w:r>
        <w:rPr>
          <w:rFonts w:ascii="Courier New" w:cs="Courier New" w:eastAsia="Courier New" w:hAnsi="Courier New"/>
          <w:color w:val="1A1A1A"/>
          <w:sz w:val="20"/>
          <w:szCs w:val="20"/>
        </w:rPr>
        <w:t xml:space="preserve">No synchronization license for the New Composition shall be issued without the prior written approval of all Co-Administrators holding an ownership interest of 10% or greater. Co-Administrators holding less than 10% grant Primary Administrator the authority to approve sync licenses on their behalf.</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DISPUTE RESOLUTION. </w:t>
      </w:r>
      <w:r>
        <w:rPr>
          <w:rFonts w:ascii="Courier New" w:cs="Courier New" w:eastAsia="Courier New" w:hAnsi="Courier New"/>
          <w:color w:val="1A1A1A"/>
          <w:sz w:val="20"/>
          <w:szCs w:val="20"/>
        </w:rPr>
        <w:t xml:space="preserve">Any dispute among Co-Administrators arising under this Agreement shall be submitted to binding arbitration in _______________, in accordance with the rules of the American Arbitration Association.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Multi-party sampling co-administration is among the most complex administrative structures in music publishing. The primary risk is a breakdown in communication among Co-Administrators leading to conflicting PRO registrations, duplicate licensing, or royalty payment disputes. The Primary Administrator designation with clear authority and accountability is essential to prevent operational chaos. Sync license approval thresholds (Clause 5) prevent small-interest holders from exercising disproportionate veto power while preserving meaningful approval rights for material stakeholders.</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12: DIGITAL MEDIA — PART 1</w:t>
      </w:r>
    </w:p>
    <w:p>
      <w:pPr>
        <w:pStyle w:val="Heading2"/>
        <w:spacing w:after="180" w:before="360"/>
      </w:pPr>
      <w:r>
        <w:rPr>
          <w:rFonts w:ascii="Arial" w:cs="Arial" w:eastAsia="Arial" w:hAnsi="Arial"/>
          <w:b/>
          <w:bCs/>
          <w:color w:val="0D2137"/>
          <w:sz w:val="28"/>
          <w:szCs w:val="28"/>
        </w:rPr>
        <w:t xml:space="preserve">Digital Delivery: Streaming and Downloading</w:t>
      </w:r>
    </w:p>
    <w:p>
      <w:pPr>
        <w:spacing w:after="120" w:before="80"/>
        <w:jc w:val="both"/>
      </w:pPr>
      <w:r>
        <w:rPr>
          <w:rFonts w:ascii="Arial" w:cs="Arial" w:eastAsia="Arial" w:hAnsi="Arial"/>
          <w:color w:val="1A1A1A"/>
          <w:sz w:val="22"/>
          <w:szCs w:val="22"/>
        </w:rPr>
        <w:t xml:space="preserve">The digital revolution has fundamentally transformed the music industry's economic structure, distribution mechanisms, and royalty framework. For publishing administrators, understanding digital delivery is not optional background knowledge—it is the primary operating environment. The majority of contemporary music publishing income flows through digital channels, and that proportion continues to increase as physical and download revenues decline.</w:t>
      </w:r>
    </w:p>
    <w:p>
      <w:pPr>
        <w:spacing w:after="120" w:before="80"/>
        <w:jc w:val="both"/>
      </w:pPr>
      <w:r>
        <w:rPr>
          <w:rFonts w:ascii="Arial" w:cs="Arial" w:eastAsia="Arial" w:hAnsi="Arial"/>
          <w:color w:val="1A1A1A"/>
          <w:sz w:val="22"/>
          <w:szCs w:val="22"/>
        </w:rPr>
        <w:t xml:space="preserve">Digital delivery of music encompasses two primary commercial models: (1) downloading, in which a discrete digital file is transferred to the consumer's device for permanent storage and playback; and (2) streaming, in which the consumer accesses music on demand or as programmed content without permanently storing a file. Each model implicates distinct copyright rights and royalty obligations.</w:t>
      </w:r>
    </w:p>
    <w:p>
      <w:pPr>
        <w:pStyle w:val="Heading2"/>
        <w:spacing w:after="180" w:before="360"/>
      </w:pPr>
      <w:r>
        <w:rPr>
          <w:rFonts w:ascii="Arial" w:cs="Arial" w:eastAsia="Arial" w:hAnsi="Arial"/>
          <w:b/>
          <w:bCs/>
          <w:color w:val="0D2137"/>
          <w:sz w:val="28"/>
          <w:szCs w:val="28"/>
        </w:rPr>
        <w:t xml:space="preserve">A Brief History of Digital Delivery</w:t>
      </w:r>
    </w:p>
    <w:p>
      <w:pPr>
        <w:spacing w:after="120" w:before="80"/>
        <w:jc w:val="both"/>
      </w:pPr>
      <w:r>
        <w:rPr>
          <w:rFonts w:ascii="Arial" w:cs="Arial" w:eastAsia="Arial" w:hAnsi="Arial"/>
          <w:color w:val="1A1A1A"/>
          <w:sz w:val="22"/>
          <w:szCs w:val="22"/>
        </w:rPr>
        <w:t xml:space="preserve">The commercial history of digital music delivery begins with the emergence of the MP3 format and peer-to-peer file sharing platforms in the late 1990s. Napster, launched in 1999, demonstrated both the consumer appetite for digital music and the industry's vulnerability to unauthorized digital distribution. The RIAA's litigation campaign against Napster resulted in a court order requiring its shutdown in 2001, but the underlying technology quickly migrated to decentralized platforms including Kazaa, Limewire, and BitTorrent.</w:t>
      </w:r>
    </w:p>
    <w:p>
      <w:pPr>
        <w:spacing w:after="120" w:before="80"/>
        <w:jc w:val="both"/>
      </w:pPr>
      <w:r>
        <w:rPr>
          <w:rFonts w:ascii="Arial" w:cs="Arial" w:eastAsia="Arial" w:hAnsi="Arial"/>
          <w:color w:val="1A1A1A"/>
          <w:sz w:val="22"/>
          <w:szCs w:val="22"/>
        </w:rPr>
        <w:t xml:space="preserve">Apple's launch of the iTunes Music Store in 2003—offering individual song downloads at $0.99—provided the first commercially successful legal alternative to file sharing. iTunes demonstrated that consumers would pay for convenient, legally obtained digital music at the right price point. The iTunes model was a download model: purchases were permanent digital downloads subject to mechanical royalty obligations.</w:t>
      </w:r>
    </w:p>
    <w:p>
      <w:pPr>
        <w:spacing w:after="120" w:before="80"/>
        <w:jc w:val="both"/>
      </w:pPr>
      <w:r>
        <w:rPr>
          <w:rFonts w:ascii="Arial" w:cs="Arial" w:eastAsia="Arial" w:hAnsi="Arial"/>
          <w:color w:val="1A1A1A"/>
          <w:sz w:val="22"/>
          <w:szCs w:val="22"/>
        </w:rPr>
        <w:t xml:space="preserve">Spotify's launch in Europe in 2008 and in the United States in 2011 marked the emergence of streaming as the dominant digital consumption model. The streaming model—access without ownership, typically on a subscription basis or with advertising support—presented the music industry with a fundamentally different economic structure: recurring subscription revenue shared across all uses rather than per-unit transaction fees.</w:t>
      </w:r>
    </w:p>
    <w:p>
      <w:pPr>
        <w:pStyle w:val="Heading2"/>
        <w:spacing w:after="180" w:before="360"/>
      </w:pPr>
      <w:r>
        <w:rPr>
          <w:rFonts w:ascii="Arial" w:cs="Arial" w:eastAsia="Arial" w:hAnsi="Arial"/>
          <w:b/>
          <w:bCs/>
          <w:color w:val="0D2137"/>
          <w:sz w:val="28"/>
          <w:szCs w:val="28"/>
        </w:rPr>
        <w:t xml:space="preserve">The Illegal Downloading of Music</w:t>
      </w:r>
    </w:p>
    <w:p>
      <w:pPr>
        <w:spacing w:after="120" w:before="80"/>
        <w:jc w:val="both"/>
      </w:pPr>
      <w:r>
        <w:rPr>
          <w:rFonts w:ascii="Arial" w:cs="Arial" w:eastAsia="Arial" w:hAnsi="Arial"/>
          <w:color w:val="1A1A1A"/>
          <w:sz w:val="22"/>
          <w:szCs w:val="22"/>
        </w:rPr>
        <w:t xml:space="preserve">Illegal downloading remains a significant global phenomenon, though its economic impact on the U.S. market has declined as legal streaming alternatives have achieved broad consumer adoption. The legal framework for combating illegal downloading includes: the DMCA notice-and-takedown system under Section 512, direct infringement litigation by rights holders against individual infringers (largely abandoned after generating significant public relations backlash), and litigation against platform operators for contributory and vicarious infringement.</w:t>
      </w:r>
    </w:p>
    <w:p>
      <w:pPr>
        <w:pStyle w:val="Heading2"/>
        <w:spacing w:after="180" w:before="360"/>
      </w:pPr>
      <w:r>
        <w:rPr>
          <w:rFonts w:ascii="Arial" w:cs="Arial" w:eastAsia="Arial" w:hAnsi="Arial"/>
          <w:b/>
          <w:bCs/>
          <w:color w:val="0D2137"/>
          <w:sz w:val="28"/>
          <w:szCs w:val="28"/>
        </w:rPr>
        <w:t xml:space="preserve">Legal Online Music Download Services</w:t>
      </w:r>
    </w:p>
    <w:p>
      <w:pPr>
        <w:spacing w:after="120" w:before="80"/>
        <w:jc w:val="both"/>
      </w:pPr>
      <w:r>
        <w:rPr>
          <w:rFonts w:ascii="Arial" w:cs="Arial" w:eastAsia="Arial" w:hAnsi="Arial"/>
          <w:color w:val="1A1A1A"/>
          <w:sz w:val="22"/>
          <w:szCs w:val="22"/>
        </w:rPr>
        <w:t xml:space="preserve">Legal download services—iTunes/Apple Music, Amazon Music, Google Play Music (now YouTube Music)—operate under mechanical licenses issued pursuant to the Section 115 compulsory license framework or the MMA blanket license, and pay performance royalties via PROs. The download market has contracted substantially as streaming consumption has grown; permanent download sales in the United States declined from a peak of approximately 1.5 billion units in 2012 to approximately 100 million units in 2023.</w:t>
      </w:r>
    </w:p>
    <w:p>
      <w:pPr>
        <w:pStyle w:val="Heading2"/>
        <w:spacing w:after="180" w:before="360"/>
      </w:pPr>
      <w:r>
        <w:rPr>
          <w:rFonts w:ascii="Arial" w:cs="Arial" w:eastAsia="Arial" w:hAnsi="Arial"/>
          <w:b/>
          <w:bCs/>
          <w:color w:val="0D2137"/>
          <w:sz w:val="28"/>
          <w:szCs w:val="28"/>
        </w:rPr>
        <w:t xml:space="preserve">Conflicts Within the Music Industry</w:t>
      </w:r>
    </w:p>
    <w:p>
      <w:pPr>
        <w:pStyle w:val="Heading3"/>
        <w:spacing w:after="120" w:before="240"/>
      </w:pPr>
      <w:r>
        <w:rPr>
          <w:rFonts w:ascii="Arial" w:cs="Arial" w:eastAsia="Arial" w:hAnsi="Arial"/>
          <w:b/>
          <w:bCs/>
          <w:color w:val="4A4A4A"/>
          <w:sz w:val="24"/>
          <w:szCs w:val="24"/>
        </w:rPr>
        <w:t xml:space="preserve">Artists vs. Record Companies</w:t>
      </w:r>
    </w:p>
    <w:p>
      <w:pPr>
        <w:spacing w:after="120" w:before="80"/>
        <w:jc w:val="both"/>
      </w:pPr>
      <w:r>
        <w:rPr>
          <w:rFonts w:ascii="Arial" w:cs="Arial" w:eastAsia="Arial" w:hAnsi="Arial"/>
          <w:color w:val="1A1A1A"/>
          <w:sz w:val="22"/>
          <w:szCs w:val="22"/>
        </w:rPr>
        <w:t xml:space="preserve">The transition to digital distribution reignited longstanding tensions between recording artists and record labels over royalty accounting. Many early recording agreements, negotiated before the digital era, contained royalty reduction provisions for 'new technology' or 'new media' uses that labels interpreted to apply to digital downloads and, later, streaming. Artists frequently disputed these interpretations, arguing that the royalty reductions were intended to apply to genuinely new physical formats (CDs, cassettes) rather than to digital distribution. Significant litigation and renegotiation has shaped the current contractual landscape.</w:t>
      </w:r>
    </w:p>
    <w:p>
      <w:pPr>
        <w:pStyle w:val="Heading3"/>
        <w:spacing w:after="120" w:before="240"/>
      </w:pPr>
      <w:r>
        <w:rPr>
          <w:rFonts w:ascii="Arial" w:cs="Arial" w:eastAsia="Arial" w:hAnsi="Arial"/>
          <w:b/>
          <w:bCs/>
          <w:color w:val="4A4A4A"/>
          <w:sz w:val="24"/>
          <w:szCs w:val="24"/>
        </w:rPr>
        <w:t xml:space="preserve">Record Companies vs. Publishers</w:t>
      </w:r>
    </w:p>
    <w:p>
      <w:pPr>
        <w:spacing w:after="120" w:before="80"/>
        <w:jc w:val="both"/>
      </w:pPr>
      <w:r>
        <w:rPr>
          <w:rFonts w:ascii="Arial" w:cs="Arial" w:eastAsia="Arial" w:hAnsi="Arial"/>
          <w:color w:val="1A1A1A"/>
          <w:sz w:val="22"/>
          <w:szCs w:val="22"/>
        </w:rPr>
        <w:t xml:space="preserve">Record labels and music publishers have engaged in extended disputes over the appropriate mechanical royalty rate for digital streaming. Labels, paying mechanical royalties on behalf of their artists to publishers, have argued for below-statutory rates based on the streaming model's distinct economics. Publishers have argued for statutory or above-statutory rates based on the commercial value of compositions in the streaming environment. The CRB's Phonorecords III and IV proceedings, with their multi-year litigation histories, reflect the depth and persistence of this dispute.</w:t>
      </w:r>
    </w:p>
    <w:p>
      <w:pPr>
        <w:pStyle w:val="Heading3"/>
        <w:spacing w:after="120" w:before="240"/>
      </w:pPr>
      <w:r>
        <w:rPr>
          <w:rFonts w:ascii="Arial" w:cs="Arial" w:eastAsia="Arial" w:hAnsi="Arial"/>
          <w:b/>
          <w:bCs/>
          <w:color w:val="4A4A4A"/>
          <w:sz w:val="24"/>
          <w:szCs w:val="24"/>
        </w:rPr>
        <w:t xml:space="preserve">Copyright Owners vs. Digital Services</w:t>
      </w:r>
    </w:p>
    <w:p>
      <w:pPr>
        <w:spacing w:after="120" w:before="80"/>
        <w:jc w:val="both"/>
      </w:pPr>
      <w:r>
        <w:rPr>
          <w:rFonts w:ascii="Arial" w:cs="Arial" w:eastAsia="Arial" w:hAnsi="Arial"/>
          <w:color w:val="1A1A1A"/>
          <w:sz w:val="22"/>
          <w:szCs w:val="22"/>
        </w:rPr>
        <w:t xml:space="preserve">The relationship between copyright owners (both publishers and labels) and digital distribution platforms has been defined by an asymmetry of scale and bargaining power. Major streaming platforms—Spotify, Apple Music, Amazon—aggregate hundreds of millions of subscribers globally and can credibly threaten to remove individual labels' or publishers' content from their platforms during licensing negotiations. This leverage, combined with the rate-court framework applicable to performance rights licensing, has historically resulted in royalty rates that many copyright owners regard as below the economic value of their rights.</w:t>
      </w:r>
    </w:p>
    <w:p>
      <w:pPr>
        <w:pStyle w:val="Heading2"/>
        <w:spacing w:after="180" w:before="360"/>
      </w:pPr>
      <w:r>
        <w:rPr>
          <w:rFonts w:ascii="Arial" w:cs="Arial" w:eastAsia="Arial" w:hAnsi="Arial"/>
          <w:b/>
          <w:bCs/>
          <w:color w:val="0D2137"/>
          <w:sz w:val="28"/>
          <w:szCs w:val="28"/>
        </w:rPr>
        <w:t xml:space="preserve">Other Sources of Digital Revenue</w:t>
      </w:r>
    </w:p>
    <w:p>
      <w:pPr>
        <w:pStyle w:val="Heading3"/>
        <w:spacing w:after="120" w:before="240"/>
      </w:pPr>
      <w:r>
        <w:rPr>
          <w:rFonts w:ascii="Arial" w:cs="Arial" w:eastAsia="Arial" w:hAnsi="Arial"/>
          <w:b/>
          <w:bCs/>
          <w:color w:val="4A4A4A"/>
          <w:sz w:val="24"/>
          <w:szCs w:val="24"/>
        </w:rPr>
        <w:t xml:space="preserve">Ringtones, Mastertones, and Ringbacks</w:t>
      </w:r>
    </w:p>
    <w:p>
      <w:pPr>
        <w:spacing w:after="120" w:before="80"/>
        <w:jc w:val="both"/>
      </w:pPr>
      <w:r>
        <w:rPr>
          <w:rFonts w:ascii="Arial" w:cs="Arial" w:eastAsia="Arial" w:hAnsi="Arial"/>
          <w:color w:val="1A1A1A"/>
          <w:sz w:val="22"/>
          <w:szCs w:val="22"/>
        </w:rPr>
        <w:t xml:space="preserve">The ringtone market—once a multi-billion dollar revenue stream—has declined substantially with the adoption of smartphones and default phone ringtones. Mastertone downloads (premium sound recording-based ringtones) generated significant mechanical and master use royalty income in the mid-2000s but are now a minimal revenue source. Ringback tones, which play for the calling party while waiting for a call to be answered, experienced a similarly brief commercial peak.</w:t>
      </w:r>
    </w:p>
    <w:p>
      <w:pPr>
        <w:pStyle w:val="Heading3"/>
        <w:spacing w:after="120" w:before="240"/>
      </w:pPr>
      <w:r>
        <w:rPr>
          <w:rFonts w:ascii="Arial" w:cs="Arial" w:eastAsia="Arial" w:hAnsi="Arial"/>
          <w:b/>
          <w:bCs/>
          <w:color w:val="4A4A4A"/>
          <w:sz w:val="24"/>
          <w:szCs w:val="24"/>
        </w:rPr>
        <w:t xml:space="preserve">Apps</w:t>
      </w:r>
    </w:p>
    <w:p>
      <w:pPr>
        <w:spacing w:after="120" w:before="80"/>
        <w:jc w:val="both"/>
      </w:pPr>
      <w:r>
        <w:rPr>
          <w:rFonts w:ascii="Arial" w:cs="Arial" w:eastAsia="Arial" w:hAnsi="Arial"/>
          <w:color w:val="1A1A1A"/>
          <w:sz w:val="22"/>
          <w:szCs w:val="22"/>
        </w:rPr>
        <w:t xml:space="preserve">Music used in mobile applications may require synchronization licenses (for music embedded in the app), mechanical licenses (for on-demand streaming within the app), and performance licenses (for any public performance element). Gaming apps, fitness apps, and meditation apps represent active sync licensing markets for catalog compositions.</w:t>
      </w:r>
    </w:p>
    <w:p>
      <w:pPr>
        <w:pStyle w:val="Heading3"/>
        <w:spacing w:after="120" w:before="240"/>
      </w:pPr>
      <w:r>
        <w:rPr>
          <w:rFonts w:ascii="Arial" w:cs="Arial" w:eastAsia="Arial" w:hAnsi="Arial"/>
          <w:b/>
          <w:bCs/>
          <w:color w:val="4A4A4A"/>
          <w:sz w:val="24"/>
          <w:szCs w:val="24"/>
        </w:rPr>
        <w:t xml:space="preserve">Online Video Services</w:t>
      </w:r>
    </w:p>
    <w:p>
      <w:pPr>
        <w:spacing w:after="120" w:before="80"/>
        <w:jc w:val="both"/>
      </w:pPr>
      <w:r>
        <w:rPr>
          <w:rFonts w:ascii="Arial" w:cs="Arial" w:eastAsia="Arial" w:hAnsi="Arial"/>
          <w:color w:val="1A1A1A"/>
          <w:sz w:val="22"/>
          <w:szCs w:val="22"/>
        </w:rPr>
        <w:t xml:space="preserve">YouTube, TikTok, Instagram Reels, and similar user-generated content platforms represent a significant and growing music licensing market. YouTube's Content ID system, operated under a licensing agreement with major rights holders, enables rights holders to monetize user-generated videos containing their music rather than requiring takedown under the DMCA. Performance and mechanical royalties from online video platforms are an increasingly important component of total digital income.</w:t>
      </w:r>
    </w:p>
    <w:p>
      <w:pPr>
        <w:pStyle w:val="Heading2"/>
        <w:spacing w:after="180" w:before="360"/>
      </w:pPr>
      <w:r>
        <w:rPr>
          <w:rFonts w:ascii="Arial" w:cs="Arial" w:eastAsia="Arial" w:hAnsi="Arial"/>
          <w:b/>
          <w:bCs/>
          <w:color w:val="0D2137"/>
          <w:sz w:val="28"/>
          <w:szCs w:val="28"/>
        </w:rPr>
        <w:t xml:space="preserve">Micro Licensing</w:t>
      </w:r>
    </w:p>
    <w:p>
      <w:pPr>
        <w:spacing w:after="120" w:before="80"/>
        <w:jc w:val="both"/>
      </w:pPr>
      <w:r>
        <w:rPr>
          <w:rFonts w:ascii="Arial" w:cs="Arial" w:eastAsia="Arial" w:hAnsi="Arial"/>
          <w:color w:val="1A1A1A"/>
          <w:sz w:val="22"/>
          <w:szCs w:val="22"/>
        </w:rPr>
        <w:t xml:space="preserve">Micro licensing refers to the licensing of music for small-scale digital uses—background music for YouTube videos, podcasts, social media posts, and similar content—at standardized, low price points. Platforms such as Musicbed, Artlist, and Epidemic Sound operate micro-licensing marketplaces that provide content creators with cleared music for a flat annual subscription fee. These platforms pay composers and publishers a revenue share based on the platform's subscription income.</w:t>
      </w:r>
    </w:p>
    <w:p>
      <w:pPr>
        <w:spacing w:after="120" w:before="80"/>
        <w:jc w:val="both"/>
      </w:pPr>
      <w:r>
        <w:rPr>
          <w:rFonts w:ascii="Arial" w:cs="Arial" w:eastAsia="Arial" w:hAnsi="Arial"/>
          <w:color w:val="1A1A1A"/>
          <w:sz w:val="22"/>
          <w:szCs w:val="22"/>
        </w:rPr>
        <w:t xml:space="preserve">Micro licensing represents an emerging revenue stream for catalog compositions that are well-suited to background and functional use, and is increasingly integrated into publishing administration platforms as a standard distribution channel.</w:t>
      </w:r>
    </w:p>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13: DIGITAL MEDIA — PART 2</w:t>
      </w:r>
    </w:p>
    <w:p>
      <w:pPr>
        <w:pStyle w:val="Heading2"/>
        <w:spacing w:after="180" w:before="360"/>
      </w:pPr>
      <w:r>
        <w:rPr>
          <w:rFonts w:ascii="Arial" w:cs="Arial" w:eastAsia="Arial" w:hAnsi="Arial"/>
          <w:b/>
          <w:bCs/>
          <w:color w:val="0D2137"/>
          <w:sz w:val="28"/>
          <w:szCs w:val="28"/>
        </w:rPr>
        <w:t xml:space="preserve">Performing Rights License Rates</w:t>
      </w:r>
    </w:p>
    <w:p>
      <w:pPr>
        <w:spacing w:after="120" w:before="80"/>
        <w:jc w:val="both"/>
      </w:pPr>
      <w:r>
        <w:rPr>
          <w:rFonts w:ascii="Arial" w:cs="Arial" w:eastAsia="Arial" w:hAnsi="Arial"/>
          <w:color w:val="1A1A1A"/>
          <w:sz w:val="22"/>
          <w:szCs w:val="22"/>
        </w:rPr>
        <w:t xml:space="preserve">The rates at which U.S. PROs license digital music services for public performance rights are among the most commercially significant and most contested rate determinations in music publishing. The consent decree framework—applicable to ASCAP and BMI—requires these organizations to license all applicants on reasonable and non-discriminatory terms and subjects rate disputes to rate court adjudication by a federal judge sitting in the Southern District of New York (for ASCAP) or the District of New Jersey (for BMI).</w:t>
      </w:r>
    </w:p>
    <w:p>
      <w:pPr>
        <w:spacing w:after="120" w:before="80"/>
        <w:jc w:val="both"/>
      </w:pPr>
      <w:r>
        <w:rPr>
          <w:rFonts w:ascii="Arial" w:cs="Arial" w:eastAsia="Arial" w:hAnsi="Arial"/>
          <w:color w:val="1A1A1A"/>
          <w:sz w:val="22"/>
          <w:szCs w:val="22"/>
        </w:rPr>
        <w:t xml:space="preserve">SESAC, not subject to a consent decree, negotiates rates directly with digital services and is generally believed to achieve higher per-stream rates than ASCAP or BMI, though specific rate terms are not publicly disclosed. GMR similarly operates outside the consent decree framework.</w:t>
      </w:r>
    </w:p>
    <w:p>
      <w:pPr>
        <w:pStyle w:val="Heading2"/>
        <w:spacing w:after="180" w:before="360"/>
      </w:pPr>
      <w:r>
        <w:rPr>
          <w:rFonts w:ascii="Arial" w:cs="Arial" w:eastAsia="Arial" w:hAnsi="Arial"/>
          <w:b/>
          <w:bCs/>
          <w:color w:val="0D2137"/>
          <w:sz w:val="28"/>
          <w:szCs w:val="28"/>
        </w:rPr>
        <w:t xml:space="preserve">SESAC</w:t>
      </w:r>
    </w:p>
    <w:p>
      <w:pPr>
        <w:spacing w:after="120" w:before="80"/>
        <w:jc w:val="both"/>
      </w:pPr>
      <w:r>
        <w:rPr>
          <w:rFonts w:ascii="Arial" w:cs="Arial" w:eastAsia="Arial" w:hAnsi="Arial"/>
          <w:color w:val="1A1A1A"/>
          <w:sz w:val="22"/>
          <w:szCs w:val="22"/>
        </w:rPr>
        <w:t xml:space="preserve">SESAC's digital licensing rates are determined through direct negotiation with digital service providers. SESAC's selective, invitation-only membership model and the absence of consent decree constraints allow it to negotiate rates that are widely believed to be more favorable than those available to ASCAP and BMI under the rate court framework. SESAC's digital license agreements are confidential, and specific rate information is not publicly available. Publishers affiliated with SESAC report higher per-stream performance royalties for certain use categories.</w:t>
      </w:r>
    </w:p>
    <w:p>
      <w:pPr>
        <w:pStyle w:val="Heading2"/>
        <w:spacing w:after="180" w:before="360"/>
      </w:pPr>
      <w:r>
        <w:rPr>
          <w:rFonts w:ascii="Arial" w:cs="Arial" w:eastAsia="Arial" w:hAnsi="Arial"/>
          <w:b/>
          <w:bCs/>
          <w:color w:val="0D2137"/>
          <w:sz w:val="28"/>
          <w:szCs w:val="28"/>
        </w:rPr>
        <w:t xml:space="preserve">BMI</w:t>
      </w:r>
    </w:p>
    <w:p>
      <w:pPr>
        <w:spacing w:after="120" w:before="80"/>
        <w:jc w:val="both"/>
      </w:pPr>
      <w:r>
        <w:rPr>
          <w:rFonts w:ascii="Arial" w:cs="Arial" w:eastAsia="Arial" w:hAnsi="Arial"/>
          <w:color w:val="1A1A1A"/>
          <w:sz w:val="22"/>
          <w:szCs w:val="22"/>
        </w:rPr>
        <w:t xml:space="preserve">BMI's rate court proceedings for digital services have produced license rates expressed as a percentage of digital service revenue, subject to a per-stream floor. BMI's 2016 rate court decision established rates for interactive streaming services. Subsequent negotiations and proceedings have adjusted these rates. The practical per-stream payment to an individual publisher varies significantly based on catalog size, the service's subscriber base, and the applicable rate formula.</w:t>
      </w:r>
    </w:p>
    <w:p>
      <w:pPr>
        <w:pStyle w:val="Heading2"/>
        <w:spacing w:after="180" w:before="360"/>
      </w:pPr>
      <w:r>
        <w:rPr>
          <w:rFonts w:ascii="Arial" w:cs="Arial" w:eastAsia="Arial" w:hAnsi="Arial"/>
          <w:b/>
          <w:bCs/>
          <w:color w:val="0D2137"/>
          <w:sz w:val="28"/>
          <w:szCs w:val="28"/>
        </w:rPr>
        <w:t xml:space="preserve">ASCAP</w:t>
      </w:r>
    </w:p>
    <w:p>
      <w:pPr>
        <w:spacing w:after="120" w:before="80"/>
        <w:jc w:val="both"/>
      </w:pPr>
      <w:r>
        <w:rPr>
          <w:rFonts w:ascii="Arial" w:cs="Arial" w:eastAsia="Arial" w:hAnsi="Arial"/>
          <w:color w:val="1A1A1A"/>
          <w:sz w:val="22"/>
          <w:szCs w:val="22"/>
        </w:rPr>
        <w:t xml:space="preserve">ASCAP's digital licensing rates have similarly been subject to extensive rate court litigation. ASCAP's 2016 rate court decision (In re Pandora Media) established rates for internet radio services. ASCAP's rates for interactive streaming services have been the subject of ongoing negotiation and litigation. Like BMI, ASCAP's per-stream payments to individual publishers vary significantly based on catalog-specific factors.</w:t>
      </w:r>
    </w:p>
    <w:p>
      <w:pPr>
        <w:pStyle w:val="Heading2"/>
        <w:spacing w:after="180" w:before="360"/>
      </w:pPr>
      <w:r>
        <w:rPr>
          <w:rFonts w:ascii="Arial" w:cs="Arial" w:eastAsia="Arial" w:hAnsi="Arial"/>
          <w:b/>
          <w:bCs/>
          <w:color w:val="0D2137"/>
          <w:sz w:val="28"/>
          <w:szCs w:val="28"/>
        </w:rPr>
        <w:t xml:space="preserve">Recent Negotiated Settlements and Digital Rates Under Section 115</w:t>
      </w:r>
    </w:p>
    <w:p>
      <w:pPr>
        <w:spacing w:after="120" w:before="80"/>
        <w:jc w:val="both"/>
      </w:pPr>
      <w:r>
        <w:rPr>
          <w:rFonts w:ascii="Arial" w:cs="Arial" w:eastAsia="Arial" w:hAnsi="Arial"/>
          <w:color w:val="1A1A1A"/>
          <w:sz w:val="22"/>
          <w:szCs w:val="22"/>
        </w:rPr>
        <w:t xml:space="preserve">The Phonorecords IV proceeding before the Copyright Royalty Board—covering the period 2023 through 2027—established a complex tiered royalty structure for mechanical royalties on interactive streaming and limited downloads. The final determination introduced the greater-of formulation: services pay the greater of a percentage of revenue, a percentage of content acquisition costs, or a per-subscriber minimum. The applicable percentages and per-subscriber rates vary by service tier (paid subscription, family plan, free tier, student plan, etc.).</w:t>
      </w:r>
    </w:p>
    <w:p>
      <w:pPr>
        <w:spacing w:after="120" w:before="80"/>
        <w:jc w:val="both"/>
      </w:pPr>
      <w:r>
        <w:rPr>
          <w:rFonts w:ascii="Arial" w:cs="Arial" w:eastAsia="Arial" w:hAnsi="Arial"/>
          <w:color w:val="1A1A1A"/>
          <w:sz w:val="22"/>
          <w:szCs w:val="22"/>
        </w:rPr>
        <w:t xml:space="preserve">The Phonorecords IV rates represent a meaningful improvement over prior rates and reflect the CRB's recognition that the prior rate structure significantly undervalued the mechanical rights of songwriters and publishers relative to the commercial value streaming services derive from access to licensed music.</w:t>
      </w:r>
    </w:p>
    <w:p>
      <w:pPr>
        <w:pStyle w:val="Heading2"/>
        <w:spacing w:after="180" w:before="360"/>
      </w:pPr>
      <w:r>
        <w:rPr>
          <w:rFonts w:ascii="Arial" w:cs="Arial" w:eastAsia="Arial" w:hAnsi="Arial"/>
          <w:b/>
          <w:bCs/>
          <w:color w:val="0D2137"/>
          <w:sz w:val="28"/>
          <w:szCs w:val="28"/>
        </w:rPr>
        <w:t xml:space="preserve">The Future of Digital Delivery</w:t>
      </w:r>
    </w:p>
    <w:p>
      <w:pPr>
        <w:pStyle w:val="Heading3"/>
        <w:spacing w:after="120" w:before="240"/>
      </w:pPr>
      <w:r>
        <w:rPr>
          <w:rFonts w:ascii="Arial" w:cs="Arial" w:eastAsia="Arial" w:hAnsi="Arial"/>
          <w:b/>
          <w:bCs/>
          <w:color w:val="4A4A4A"/>
          <w:sz w:val="24"/>
          <w:szCs w:val="24"/>
        </w:rPr>
        <w:t xml:space="preserve">Storage vs. Access</w:t>
      </w:r>
    </w:p>
    <w:p>
      <w:pPr>
        <w:spacing w:after="120" w:before="80"/>
        <w:jc w:val="both"/>
      </w:pPr>
      <w:r>
        <w:rPr>
          <w:rFonts w:ascii="Arial" w:cs="Arial" w:eastAsia="Arial" w:hAnsi="Arial"/>
          <w:color w:val="1A1A1A"/>
          <w:sz w:val="22"/>
          <w:szCs w:val="22"/>
        </w:rPr>
        <w:t xml:space="preserve">The long-term trajectory of digital music consumption continues to move from ownership (permanent downloads stored on a consumer's device) to access (streaming services accessed on demand through a subscription). This transition has significant implications for mechanical royalty economics: download sales generate per-unit mechanical royalties at the statutory rate, while streaming generates fractional per-stream royalties that aggregate to a significant amount only at scale.</w:t>
      </w:r>
    </w:p>
    <w:p>
      <w:pPr>
        <w:spacing w:after="120" w:before="80"/>
        <w:jc w:val="both"/>
      </w:pPr>
      <w:r>
        <w:rPr>
          <w:rFonts w:ascii="Arial" w:cs="Arial" w:eastAsia="Arial" w:hAnsi="Arial"/>
          <w:color w:val="1A1A1A"/>
          <w:sz w:val="22"/>
          <w:szCs w:val="22"/>
        </w:rPr>
        <w:t xml:space="preserve">For catalog compositions with sustained streaming activity, the access model can generate meaningful recurring royalty income. For compositions with limited streaming profiles, the access model generates minimal mechanical royalty income—a structural challenge for the long tail of the musical catalog that streaming's economics have exacerbated.</w:t>
      </w:r>
    </w:p>
    <w:p>
      <w:pPr>
        <w:pStyle w:val="Heading3"/>
        <w:spacing w:after="120" w:before="240"/>
      </w:pPr>
      <w:r>
        <w:rPr>
          <w:rFonts w:ascii="Arial" w:cs="Arial" w:eastAsia="Arial" w:hAnsi="Arial"/>
          <w:b/>
          <w:bCs/>
          <w:color w:val="4A4A4A"/>
          <w:sz w:val="24"/>
          <w:szCs w:val="24"/>
        </w:rPr>
        <w:t xml:space="preserve">Survival Strategies</w:t>
      </w:r>
    </w:p>
    <w:p>
      <w:pPr>
        <w:spacing w:after="120" w:before="80"/>
        <w:jc w:val="both"/>
      </w:pPr>
      <w:r>
        <w:rPr>
          <w:rFonts w:ascii="Arial" w:cs="Arial" w:eastAsia="Arial" w:hAnsi="Arial"/>
          <w:color w:val="1A1A1A"/>
          <w:sz w:val="22"/>
          <w:szCs w:val="22"/>
        </w:rPr>
        <w:t xml:space="preserve">Publishing administrators serving artists in the streaming era must develop strategies for maximizing digital income across an increasingly complex ecosystem of platforms, rights, and collection mechanisms. Key strategic priorities include: ensuring full registration in all relevant digital licensing databases (MLC, PROs, international collecting societies); proactive metadata management to minimize unmatched royalties; active engagement with playlist promotion and editorial programming to maximize streaming volume; and diversification of income across sync licensing, live performance royalties, and emerging revenue streams including social media platforms, gaming, and interactive media.</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SERVICE TYPE</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PERF. ROYALTY (PRO)</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MECH. ROYALTY (MLC)</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TOTAL COMPOSITION ROYALTY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Interactive Streaming (Paid Sub)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~$0.0005-$0.001/stream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~$0.0005-$0.001/stream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~$0.001-$0.002/stream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Interactive Streaming (Free/Ad)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~$0.0001-$0.0003/stream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~$0.0001-$0.0003/stream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~$0.0002-$0.0006/stream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Internet Radio (Non-Interactive)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ASCAP/BMI blanket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 (no mech.)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ASCAP/BMI blanket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Permanent Download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9.1c/song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9.1c/song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Music Video (YouTube)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ASCAP/BMI blanket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Content ID / direct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Combined</w:t>
            </w:r>
          </w:p>
        </w:tc>
      </w:tr>
    </w:tbl>
    <w:p>
      <w:pPr>
        <w:spacing w:after="0" w:before="240"/>
      </w:pPr>
      <w:r>
        <w:t xml:space="preserve"/>
      </w:r>
    </w:p>
    <w:p>
      <w:pPr>
        <w:pStyle w:val="Heading2"/>
        <w:spacing w:after="180" w:before="360"/>
      </w:pPr>
      <w:r>
        <w:rPr>
          <w:rFonts w:ascii="Arial" w:cs="Arial" w:eastAsia="Arial" w:hAnsi="Arial"/>
          <w:b/>
          <w:bCs/>
          <w:color w:val="0D2137"/>
          <w:sz w:val="28"/>
          <w:szCs w:val="28"/>
        </w:rPr>
        <w:t xml:space="preserve">Royalty Rates for Musical Works — Summary Table</w:t>
      </w:r>
    </w:p>
    <w:p>
      <w:pPr>
        <w:spacing w:after="120" w:before="80"/>
        <w:jc w:val="both"/>
      </w:pPr>
      <w:r>
        <w:rPr>
          <w:rFonts w:ascii="Arial" w:cs="Arial" w:eastAsia="Arial" w:hAnsi="Arial"/>
          <w:color w:val="1A1A1A"/>
          <w:sz w:val="22"/>
          <w:szCs w:val="22"/>
        </w:rPr>
        <w:t xml:space="preserve">The following summary consolidates the key royalty rate structures governing musical compositions across all major commercial channels. Rates are current as of the date of this publication and are subject to change through CRB proceedings, PRO rate negotiations, and legislative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RATE MONITORING</w:t>
            </w:r>
          </w:p>
          <w:p>
            <w:pPr>
              <w:spacing w:before="60"/>
              <w:jc w:val="both"/>
            </w:pPr>
            <w:r>
              <w:rPr>
                <w:rFonts w:ascii="Arial" w:cs="Arial" w:eastAsia="Arial" w:hAnsi="Arial"/>
                <w:i/>
                <w:iCs/>
                <w:color w:val="1A1A1A"/>
                <w:sz w:val="21"/>
                <w:szCs w:val="21"/>
              </w:rPr>
              <w:t xml:space="preserve">Royalty rates in the digital music ecosystem are subject to periodic review and adjustment. The CRB's Phonorecords proceedings occur on a five-year cycle; the next proceeding (Phonorecords V) will address rates for 2028 and beyond. Executive management should monitor rate developments through industry publications (Billboard, Music Business Worldwide, NMPA communications) and incorporate rate change scenarios into financial planning models.</w:t>
            </w:r>
          </w:p>
        </w:tc>
      </w:tr>
    </w:tbl>
    <w:p>
      <w:pPr>
        <w:spacing w:after="0" w:before="240"/>
      </w:pPr>
      <w:r>
        <w:t xml:space="preserve"/>
      </w:r>
    </w:p>
    <w:p>
      <w:pPr>
        <w:pStyle w:val="Heading2"/>
        <w:spacing w:after="180" w:before="360"/>
      </w:pPr>
      <w:r>
        <w:rPr>
          <w:rFonts w:ascii="Arial" w:cs="Arial" w:eastAsia="Arial" w:hAnsi="Arial"/>
          <w:b/>
          <w:bCs/>
          <w:color w:val="0D2137"/>
          <w:sz w:val="28"/>
          <w:szCs w:val="28"/>
        </w:rPr>
        <w:t xml:space="preserve">Electronic Code of Federal Regulations — Key Sections for Publishing Administrators</w:t>
      </w:r>
    </w:p>
    <w:p>
      <w:pPr>
        <w:spacing w:after="120" w:before="80"/>
        <w:jc w:val="both"/>
      </w:pPr>
      <w:r>
        <w:rPr>
          <w:rFonts w:ascii="Arial" w:cs="Arial" w:eastAsia="Arial" w:hAnsi="Arial"/>
          <w:color w:val="1A1A1A"/>
          <w:sz w:val="22"/>
          <w:szCs w:val="22"/>
        </w:rPr>
        <w:t xml:space="preserve">The following sections of the Code of Federal Regulations are directly relevant to publishing administration and should be maintained as active reference resources:</w:t>
      </w:r>
    </w:p>
    <w:p>
      <w:pPr>
        <w:pStyle w:val="ListParagraph"/>
        <w:numPr>
          <w:ilvl w:val="0"/>
          <w:numId w:val="2"/>
        </w:numPr>
        <w:spacing w:after="60" w:before="60"/>
      </w:pPr>
      <w:r>
        <w:rPr>
          <w:rFonts w:ascii="Arial" w:cs="Arial" w:eastAsia="Arial" w:hAnsi="Arial"/>
          <w:color w:val="1A1A1A"/>
          <w:sz w:val="22"/>
          <w:szCs w:val="22"/>
        </w:rPr>
        <w:t xml:space="preserve">37 CFR Part 385 — Royalty rates and terms for making and distributing phonorecords (mechanical royalties for digital services — the CRB's operative rate regulations).</w:t>
      </w:r>
    </w:p>
    <w:p>
      <w:pPr>
        <w:pStyle w:val="ListParagraph"/>
        <w:numPr>
          <w:ilvl w:val="0"/>
          <w:numId w:val="2"/>
        </w:numPr>
        <w:spacing w:after="60" w:before="60"/>
      </w:pPr>
      <w:r>
        <w:rPr>
          <w:rFonts w:ascii="Arial" w:cs="Arial" w:eastAsia="Arial" w:hAnsi="Arial"/>
          <w:color w:val="1A1A1A"/>
          <w:sz w:val="22"/>
          <w:szCs w:val="22"/>
        </w:rPr>
        <w:t xml:space="preserve">37 CFR Part 380 — Rates and terms for certain noninteractive services, preexisting subscription services, and preexisting satellite digital audio radio services.</w:t>
      </w:r>
    </w:p>
    <w:p>
      <w:pPr>
        <w:pStyle w:val="ListParagraph"/>
        <w:numPr>
          <w:ilvl w:val="0"/>
          <w:numId w:val="2"/>
        </w:numPr>
        <w:spacing w:after="60" w:before="60"/>
      </w:pPr>
      <w:r>
        <w:rPr>
          <w:rFonts w:ascii="Arial" w:cs="Arial" w:eastAsia="Arial" w:hAnsi="Arial"/>
          <w:color w:val="1A1A1A"/>
          <w:sz w:val="22"/>
          <w:szCs w:val="22"/>
        </w:rPr>
        <w:t xml:space="preserve">37 CFR Part 382 — Royalty rates and terms for ephemeral recording.</w:t>
      </w:r>
    </w:p>
    <w:p>
      <w:pPr>
        <w:pStyle w:val="ListParagraph"/>
        <w:numPr>
          <w:ilvl w:val="0"/>
          <w:numId w:val="2"/>
        </w:numPr>
        <w:spacing w:after="60" w:before="60"/>
      </w:pPr>
      <w:r>
        <w:rPr>
          <w:rFonts w:ascii="Arial" w:cs="Arial" w:eastAsia="Arial" w:hAnsi="Arial"/>
          <w:color w:val="1A1A1A"/>
          <w:sz w:val="22"/>
          <w:szCs w:val="22"/>
        </w:rPr>
        <w:t xml:space="preserve">37 CFR Part 384 — Rates and terms for the use of musical compositions in the making and distributing of physical and digital phonorecords.</w:t>
      </w:r>
    </w:p>
    <w:p>
      <w:pPr>
        <w:pStyle w:val="ListParagraph"/>
        <w:numPr>
          <w:ilvl w:val="0"/>
          <w:numId w:val="2"/>
        </w:numPr>
        <w:spacing w:after="60" w:before="60"/>
      </w:pPr>
      <w:r>
        <w:rPr>
          <w:rFonts w:ascii="Arial" w:cs="Arial" w:eastAsia="Arial" w:hAnsi="Arial"/>
          <w:color w:val="1A1A1A"/>
          <w:sz w:val="22"/>
          <w:szCs w:val="22"/>
        </w:rPr>
        <w:t xml:space="preserve">37 CFR Part 201 — General provisions of the Copyright Office, including registration procedures and recordation of transfers.</w:t>
      </w:r>
    </w:p>
    <w:p>
      <w:pPr>
        <w:pStyle w:val="ListParagraph"/>
        <w:numPr>
          <w:ilvl w:val="0"/>
          <w:numId w:val="2"/>
        </w:numPr>
        <w:spacing w:after="60" w:before="60"/>
      </w:pPr>
      <w:r>
        <w:rPr>
          <w:rFonts w:ascii="Arial" w:cs="Arial" w:eastAsia="Arial" w:hAnsi="Arial"/>
          <w:color w:val="1A1A1A"/>
          <w:sz w:val="22"/>
          <w:szCs w:val="22"/>
        </w:rPr>
        <w:t xml:space="preserve">37 CFR Part 202 — Mandatory deposit of copies of works published in the United States.</w:t>
      </w:r>
    </w:p>
    <w:p>
      <w:pPr>
        <w:spacing w:after="0" w:before="120"/>
      </w:pPr>
      <w:r>
        <w:t xml:space="preserve"/>
      </w:r>
    </w:p>
    <w:p>
      <w:pPr>
        <w:spacing w:after="120" w:before="80"/>
        <w:jc w:val="both"/>
      </w:pPr>
      <w:r>
        <w:rPr>
          <w:rFonts w:ascii="Arial" w:cs="Arial" w:eastAsia="Arial" w:hAnsi="Arial"/>
          <w:color w:val="1A1A1A"/>
          <w:sz w:val="22"/>
          <w:szCs w:val="22"/>
        </w:rPr>
        <w:t xml:space="preserve">Publishing administrators should maintain current copies of Part 385 in their operational reference library and update their internal rate schedules immediately upon the effective date of any CRB determination. Failure to apply current rates in royalty calculations exposes the administrator to underpayment claims from clients and licensees.</w:t>
      </w:r>
    </w:p>
    <w:p>
      <w:pPr>
        <w:spacing w:after="0" w:before="360"/>
      </w:pPr>
      <w:r>
        <w:t xml:space="preserve"/>
      </w:r>
    </w:p>
    <w:p>
      <w:pPr>
        <w:spacing w:after="480" w:before="480"/>
        <w:jc w:val="center"/>
      </w:pPr>
      <w:r>
        <w:rPr>
          <w:rFonts w:ascii="Arial" w:cs="Arial" w:eastAsia="Arial" w:hAnsi="Arial"/>
          <w:b/>
          <w:bCs/>
          <w:color w:val="B8962E"/>
          <w:sz w:val="24"/>
          <w:szCs w:val="24"/>
        </w:rPr>
        <w:t xml:space="preserve">— END OF COMPENDIUM —</w:t>
      </w:r>
    </w:p>
    <w:p>
      <w:pPr>
        <w:jc w:val="center"/>
      </w:pPr>
      <w:r>
        <w:rPr>
          <w:rFonts w:ascii="Arial" w:cs="Arial" w:eastAsia="Arial" w:hAnsi="Arial"/>
          <w:i/>
          <w:iCs/>
          <w:color w:val="4A4A4A"/>
          <w:sz w:val="18"/>
          <w:szCs w:val="18"/>
        </w:rPr>
        <w:t xml:space="preserve">© 2025 MusiGod Publishing Administration LLC. All Rights Reserved. Confidential and Proprietary.</w:t>
      </w:r>
    </w:p>
    <w:p>
      <w:pPr>
        <w:spacing w:before="60"/>
        <w:jc w:val="center"/>
      </w:pPr>
      <w:r>
        <w:rPr>
          <w:rFonts w:ascii="Arial" w:cs="Arial" w:eastAsia="Arial" w:hAnsi="Arial"/>
          <w:i/>
          <w:iCs/>
          <w:color w:val="4A4A4A"/>
          <w:sz w:val="18"/>
          <w:szCs w:val="18"/>
        </w:rPr>
        <w:t xml:space="preserve">This document is intended for internal use by MusiGod executive management and authorized personnel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2E" w:sz="4" w:space="4"/>
      </w:pBdr>
      <w:jc w:val="center"/>
    </w:pPr>
    <w:r>
      <w:rPr>
        <w:rFonts w:ascii="Arial" w:cs="Arial" w:eastAsia="Arial" w:hAnsi="Arial"/>
        <w:color w:val="4A4A4A"/>
        <w:sz w:val="18"/>
        <w:szCs w:val="18"/>
      </w:rPr>
      <w:t xml:space="preserve">© 2025 MusiGod. All Rights Reserved.    |    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2E" w:sz="4" w:space="4"/>
      </w:pBdr>
    </w:pPr>
    <w:r>
      <w:rPr>
        <w:rFonts w:ascii="Arial" w:cs="Arial" w:eastAsia="Arial" w:hAnsi="Arial"/>
        <w:i/>
        <w:iCs/>
        <w:color w:val="4A4A4A"/>
        <w:sz w:val="18"/>
        <w:szCs w:val="18"/>
      </w:rPr>
      <w:t xml:space="preserve">MusiGod Publishing Administration Compendium</w:t>
    </w:r>
    <w:r>
      <w:rPr>
        <w:rFonts w:ascii="Arial" w:cs="Arial" w:eastAsia="Arial" w:hAnsi="Arial"/>
        <w:b/>
        <w:bCs/>
        <w:color w:val="4A4A4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2137"/>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0D213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2026-05-14T08:20:37.514Z</dcterms:created>
  <dcterms:modified xsi:type="dcterms:W3CDTF">2026-05-14T08:20:37.534Z</dcterms:modified>
</cp:coreProperties>
</file>

<file path=docProps/custom.xml><?xml version="1.0" encoding="utf-8"?>
<Properties xmlns="http://schemas.openxmlformats.org/officeDocument/2006/custom-properties" xmlns:vt="http://schemas.openxmlformats.org/officeDocument/2006/docPropsVTypes"/>
</file>