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B5C8A"/>
          <w:sz w:val="52"/>
        </w:rPr>
        <w:t>MediRAG → Research Paper</w:t>
      </w:r>
    </w:p>
    <w:p>
      <w:pPr>
        <w:spacing w:after="40"/>
        <w:jc w:val="center"/>
      </w:pPr>
      <w:r>
        <w:rPr>
          <w:color w:val="555F6B"/>
          <w:sz w:val="25"/>
        </w:rPr>
        <w:t>Final plan: audit findings, the paper to write, and the way forward</w:t>
      </w:r>
    </w:p>
    <w:p>
      <w:pPr>
        <w:spacing w:after="280"/>
        <w:jc w:val="center"/>
      </w:pPr>
      <w:r>
        <w:rPr>
          <w:color w:val="555F6B"/>
          <w:sz w:val="19"/>
        </w:rPr>
        <w:t>Prepared 17 September 2026  ·  Supersedes docs/PAPER_PLAN.md (7 August 2026)</w:t>
      </w:r>
    </w:p>
    <w:p>
      <w:pPr>
        <w:pBdr>
          <w:bottom w:val="single" w:sz="6" w:color="C9D3DC"/>
        </w:pBdr>
        <w:spacing w:after="200"/>
      </w:pPr>
    </w:p>
    <w:p>
      <w:pPr>
        <w:pStyle w:val="Heading1"/>
      </w:pPr>
      <w:r>
        <w:t>Read this first — the one-page verdict</w:t>
      </w:r>
    </w:p>
    <w:p>
      <w:pPr>
        <w:spacing w:after="160"/>
      </w:pPr>
      <w:r>
        <w:rPr>
          <w:b w:val="0"/>
          <w:i w:val="0"/>
        </w:rPr>
        <w:t>You asked two questions: where is this project really, and should you write a peer-reviewed paper on it. Short answers:</w:t>
      </w:r>
    </w:p>
    <w:p>
      <w:pPr>
        <w:spacing w:after="120"/>
      </w:pPr>
      <w:r>
        <w:rPr>
          <w:b/>
          <w:i w:val="0"/>
        </w:rPr>
        <w:t xml:space="preserve">Where it is: </w:t>
      </w:r>
      <w:r>
        <w:rPr>
          <w:b w:val="0"/>
          <w:i w:val="0"/>
        </w:rPr>
        <w:t>the engineering is genuinely strong and unusually well documented. The empirical claims are not. Every headline number in the repository is either statistically null, judged circularly, or was produced by a model that no longer exists. None of that is fatal — but none of it can go in a paper as it stands.</w:t>
      </w:r>
    </w:p>
    <w:p>
      <w:pPr>
        <w:spacing w:after="120"/>
      </w:pPr>
      <w:r>
        <w:rPr>
          <w:b/>
          <w:i w:val="0"/>
        </w:rPr>
        <w:t xml:space="preserve">Should you write a paper: </w:t>
      </w:r>
      <w:r>
        <w:rPr>
          <w:b w:val="0"/>
          <w:i w:val="0"/>
        </w:rPr>
        <w:t xml:space="preserve">yes — but not the paper you set out to write. </w:t>
      </w:r>
      <w:r>
        <w:rPr>
          <w:b/>
          <w:i w:val="0"/>
        </w:rPr>
        <w:t>"Our cascade reduces hallucination" is dead</w:t>
      </w:r>
      <w:r>
        <w:rPr>
          <w:b w:val="0"/>
          <w:i w:val="0"/>
        </w:rPr>
        <w:t xml:space="preserve"> (Fisher exact p = 0.548). The paper that is actually here is stronger, more honest, and more novel than that one would have been.</w:t>
      </w:r>
    </w:p>
    <w:p>
      <w:pPr>
        <w:spacing w:after="40"/>
        <w:ind w:left="173"/>
        <w:shd w:val="clear" w:fill="E8F1F8"/>
      </w:pPr>
      <w:r>
        <w:rPr>
          <w:b/>
          <w:sz w:val="21"/>
        </w:rPr>
        <w:t>The paper to write</w:t>
      </w:r>
    </w:p>
    <w:p>
      <w:pPr>
        <w:spacing w:after="200"/>
        <w:ind w:left="173"/>
        <w:shd w:val="clear" w:fill="E8F1F8"/>
      </w:pPr>
      <w:r>
        <w:rPr>
          <w:sz w:val="20"/>
        </w:rPr>
        <w:t>In cascaded consumer-health RAG, safety layers purchase reductions in unsupported clinical claims at a large, systematically under-reported cost in access — and we measure both axes against clinician-adjudicated ground truth.</w:t>
        <w:br/>
        <w:br/>
        <w:t>Working title: "What does safety cost? Measuring the hallucination–access frontier in cascaded consumer-health retrieval-augmented generation"</w:t>
      </w:r>
    </w:p>
    <w:p>
      <w:pPr>
        <w:spacing w:after="120"/>
      </w:pPr>
      <w:r>
        <w:rPr>
          <w:b w:val="0"/>
          <w:i w:val="0"/>
        </w:rPr>
        <w:t>Why this reframe is the right call: it turns your three biggest liabilities into your three main contributions.</w:t>
      </w:r>
    </w:p>
    <w:tbl>
      <w:tblPr>
        <w:tblStyle w:val="LightGrid-Accent1"/>
        <w:tblW w:type="auto" w:w="0"/>
        <w:jc w:val="center"/>
        <w:tblLook w:firstColumn="1" w:firstRow="1" w:lastColumn="0" w:lastRow="0" w:noHBand="0" w:noVBand="1" w:val="04A0"/>
      </w:tblPr>
      <w:tblGrid>
        <w:gridCol w:w="4896"/>
        <w:gridCol w:w="4896"/>
      </w:tblGrid>
      <w:tr>
        <w:tc>
          <w:tcPr>
            <w:tcW w:type="dxa" w:w="3744"/>
          </w:tcPr>
          <w:p>
            <w:r/>
            <w:r>
              <w:rPr>
                <w:b/>
                <w:sz w:val="19"/>
              </w:rPr>
              <w:t>What looks like a problem</w:t>
            </w:r>
          </w:p>
        </w:tc>
        <w:tc>
          <w:tcPr>
            <w:tcW w:type="dxa" w:w="6048"/>
          </w:tcPr>
          <w:p>
            <w:r/>
            <w:r>
              <w:rPr>
                <w:b/>
                <w:sz w:val="19"/>
              </w:rPr>
              <w:t>What it becomes in this paper</w:t>
            </w:r>
          </w:p>
        </w:tc>
      </w:tr>
      <w:tr>
        <w:tc>
          <w:tcPr>
            <w:tcW w:type="dxa" w:w="3744"/>
          </w:tcPr>
          <w:p>
            <w:r/>
            <w:r>
              <w:rPr>
                <w:b w:val="0"/>
                <w:sz w:val="19"/>
              </w:rPr>
              <w:t>54.5% over-refusal rate</w:t>
            </w:r>
          </w:p>
        </w:tc>
        <w:tc>
          <w:tcPr>
            <w:tcW w:type="dxa" w:w="6048"/>
          </w:tcPr>
          <w:p>
            <w:r/>
            <w:r>
              <w:rPr>
                <w:b/>
                <w:sz w:val="19"/>
              </w:rPr>
              <w:t>The measured cost axis — the entire point of the paper</w:t>
            </w:r>
          </w:p>
        </w:tc>
      </w:tr>
      <w:tr>
        <w:tc>
          <w:tcPr>
            <w:tcW w:type="dxa" w:w="3744"/>
          </w:tcPr>
          <w:p>
            <w:r/>
            <w:r>
              <w:rPr>
                <w:b w:val="0"/>
                <w:sz w:val="19"/>
              </w:rPr>
              <w:t>Statistically null hallucination result (p = 0.548)</w:t>
            </w:r>
          </w:p>
        </w:tc>
        <w:tc>
          <w:tcPr>
            <w:tcW w:type="dxa" w:w="6048"/>
          </w:tcPr>
          <w:p>
            <w:r/>
            <w:r>
              <w:rPr>
                <w:b w:val="0"/>
                <w:sz w:val="19"/>
              </w:rPr>
              <w:t>An honest finding that motivates measuring a frontier instead of claiming a point</w:t>
            </w:r>
          </w:p>
        </w:tc>
      </w:tr>
      <w:tr>
        <w:tc>
          <w:tcPr>
            <w:tcW w:type="dxa" w:w="3744"/>
          </w:tcPr>
          <w:p>
            <w:r/>
            <w:r>
              <w:rPr>
                <w:b w:val="0"/>
                <w:sz w:val="19"/>
              </w:rPr>
              <w:t>A commit that relaxed a safety guard and opened a hole</w:t>
            </w:r>
          </w:p>
        </w:tc>
        <w:tc>
          <w:tcPr>
            <w:tcW w:type="dxa" w:w="6048"/>
          </w:tcPr>
          <w:p>
            <w:r/>
            <w:r>
              <w:rPr>
                <w:b w:val="0"/>
                <w:sz w:val="19"/>
              </w:rPr>
              <w:t>A documented case study of a live system trading safety for access, badly</w:t>
            </w:r>
          </w:p>
        </w:tc>
      </w:tr>
    </w:tbl>
    <w:p>
      <w:pPr>
        <w:spacing w:after="80"/>
      </w:pPr>
    </w:p>
    <w:p>
      <w:pPr>
        <w:spacing w:after="80"/>
      </w:pPr>
      <w:r>
        <w:rPr>
          <w:b/>
          <w:i w:val="0"/>
        </w:rPr>
        <w:t>Timeline: 18 weeks. Cost: zero. Primary venue: JMIR, with AMIA and ML4H in parallel.</w:t>
      </w:r>
    </w:p>
    <w:p>
      <w:r>
        <w:br w:type="page"/>
      </w:r>
    </w:p>
    <w:p>
      <w:pPr>
        <w:pStyle w:val="Heading1"/>
      </w:pPr>
      <w:r>
        <w:t>1. What I actually ran, and what I found</w:t>
      </w:r>
    </w:p>
    <w:p>
      <w:pPr>
        <w:spacing w:after="200"/>
      </w:pPr>
      <w:r>
        <w:rPr>
          <w:b w:val="0"/>
          <w:i/>
        </w:rPr>
        <w:t>Everything below is measured on your machine on 17 September 2026 — not read from your documentation. Where your documentation and the live system disagree, the live system wins, and in two cases they disagree substantially.</w:t>
      </w:r>
    </w:p>
    <w:p>
      <w:pPr>
        <w:pStyle w:val="Heading2"/>
      </w:pPr>
      <w:r>
        <w:t>1.1 What works</w:t>
      </w:r>
    </w:p>
    <w:tbl>
      <w:tblPr>
        <w:tblStyle w:val="LightGrid-Accent1"/>
        <w:tblW w:type="auto" w:w="0"/>
        <w:jc w:val="center"/>
        <w:tblLook w:firstColumn="1" w:firstRow="1" w:lastColumn="0" w:lastRow="0" w:noHBand="0" w:noVBand="1" w:val="04A0"/>
      </w:tblPr>
      <w:tblGrid>
        <w:gridCol w:w="4896"/>
        <w:gridCol w:w="4896"/>
      </w:tblGrid>
      <w:tr>
        <w:tc>
          <w:tcPr>
            <w:tcW w:type="dxa" w:w="4176"/>
          </w:tcPr>
          <w:p>
            <w:r/>
            <w:r>
              <w:rPr>
                <w:b/>
                <w:sz w:val="19"/>
              </w:rPr>
              <w:t>Check</w:t>
            </w:r>
          </w:p>
        </w:tc>
        <w:tc>
          <w:tcPr>
            <w:tcW w:type="dxa" w:w="5616"/>
          </w:tcPr>
          <w:p>
            <w:r/>
            <w:r>
              <w:rPr>
                <w:b/>
                <w:sz w:val="19"/>
              </w:rPr>
              <w:t>Result</w:t>
            </w:r>
          </w:p>
        </w:tc>
      </w:tr>
      <w:tr>
        <w:tc>
          <w:tcPr>
            <w:tcW w:type="dxa" w:w="4176"/>
          </w:tcPr>
          <w:p>
            <w:r/>
            <w:r>
              <w:rPr>
                <w:b w:val="0"/>
                <w:sz w:val="19"/>
              </w:rPr>
              <w:t>Supabase corpus</w:t>
            </w:r>
          </w:p>
        </w:tc>
        <w:tc>
          <w:tcPr>
            <w:tcW w:type="dxa" w:w="5616"/>
          </w:tcPr>
          <w:p>
            <w:r/>
            <w:r>
              <w:rPr>
                <w:b/>
                <w:sz w:val="19"/>
              </w:rPr>
              <w:t>LIVE — 1,009 documents / 3,816 chunks</w:t>
            </w:r>
          </w:p>
        </w:tc>
      </w:tr>
      <w:tr>
        <w:tc>
          <w:tcPr>
            <w:tcW w:type="dxa" w:w="4176"/>
          </w:tcPr>
          <w:p>
            <w:r/>
            <w:r>
              <w:rPr>
                <w:b w:val="0"/>
                <w:sz w:val="19"/>
              </w:rPr>
              <w:t>ingest/manifest/</w:t>
            </w:r>
          </w:p>
        </w:tc>
        <w:tc>
          <w:tcPr>
            <w:tcW w:type="dxa" w:w="5616"/>
          </w:tcPr>
          <w:p>
            <w:r/>
            <w:r>
              <w:rPr>
                <w:b/>
                <w:sz w:val="19"/>
              </w:rPr>
              <w:t>RECOVERED — 7 manifests, 224 source URLs</w:t>
            </w:r>
          </w:p>
        </w:tc>
      </w:tr>
      <w:tr>
        <w:tc>
          <w:tcPr>
            <w:tcW w:type="dxa" w:w="4176"/>
          </w:tcPr>
          <w:p>
            <w:r/>
            <w:r>
              <w:rPr>
                <w:b w:val="0"/>
                <w:sz w:val="19"/>
              </w:rPr>
              <w:t>app/RAG.py imports, 16 routes mount</w:t>
            </w:r>
          </w:p>
        </w:tc>
        <w:tc>
          <w:tcPr>
            <w:tcW w:type="dxa" w:w="5616"/>
          </w:tcPr>
          <w:p>
            <w:r/>
            <w:r>
              <w:rPr>
                <w:b w:val="0"/>
                <w:sz w:val="19"/>
              </w:rPr>
              <w:t>Clean (~50 s cold start)</w:t>
            </w:r>
          </w:p>
        </w:tc>
      </w:tr>
      <w:tr>
        <w:tc>
          <w:tcPr>
            <w:tcW w:type="dxa" w:w="4176"/>
          </w:tcPr>
          <w:p>
            <w:r/>
            <w:r>
              <w:rPr>
                <w:b w:val="0"/>
                <w:sz w:val="19"/>
              </w:rPr>
              <w:t>Deterministic test suite (8 files)</w:t>
            </w:r>
          </w:p>
        </w:tc>
        <w:tc>
          <w:tcPr>
            <w:tcW w:type="dxa" w:w="5616"/>
          </w:tcPr>
          <w:p>
            <w:r/>
            <w:r>
              <w:rPr>
                <w:b/>
                <w:sz w:val="19"/>
              </w:rPr>
              <w:t>57 pass / 1 fail / 17 skipped</w:t>
            </w:r>
          </w:p>
        </w:tc>
      </w:tr>
      <w:tr>
        <w:tc>
          <w:tcPr>
            <w:tcW w:type="dxa" w:w="4176"/>
          </w:tcPr>
          <w:p>
            <w:r/>
            <w:r>
              <w:rPr>
                <w:b w:val="0"/>
                <w:sz w:val="19"/>
              </w:rPr>
              <w:t>Red-flag engine vs 131 gold rows</w:t>
            </w:r>
          </w:p>
        </w:tc>
        <w:tc>
          <w:tcPr>
            <w:tcW w:type="dxa" w:w="5616"/>
          </w:tcPr>
          <w:p>
            <w:r/>
            <w:r>
              <w:rPr>
                <w:b/>
                <w:sz w:val="19"/>
              </w:rPr>
              <w:t>73/73 sensitivity · 58/58 specificity · 0 false positives · 45/45 rules covered</w:t>
            </w:r>
          </w:p>
        </w:tc>
      </w:tr>
      <w:tr>
        <w:tc>
          <w:tcPr>
            <w:tcW w:type="dxa" w:w="4176"/>
          </w:tcPr>
          <w:p>
            <w:r/>
            <w:r>
              <w:rPr>
                <w:b w:val="0"/>
                <w:sz w:val="19"/>
              </w:rPr>
              <w:t>Cohere key + embed / rerank / command-r models</w:t>
            </w:r>
          </w:p>
        </w:tc>
        <w:tc>
          <w:tcPr>
            <w:tcW w:type="dxa" w:w="5616"/>
          </w:tcPr>
          <w:p>
            <w:r/>
            <w:r>
              <w:rPr>
                <w:b w:val="0"/>
                <w:sz w:val="19"/>
              </w:rPr>
              <w:t>All live</w:t>
            </w:r>
          </w:p>
        </w:tc>
      </w:tr>
      <w:tr>
        <w:tc>
          <w:tcPr>
            <w:tcW w:type="dxa" w:w="4176"/>
          </w:tcPr>
          <w:p>
            <w:r/>
            <w:r>
              <w:rPr>
                <w:b w:val="0"/>
                <w:sz w:val="19"/>
              </w:rPr>
              <w:t>Groq key</w:t>
            </w:r>
          </w:p>
        </w:tc>
        <w:tc>
          <w:tcPr>
            <w:tcW w:type="dxa" w:w="5616"/>
          </w:tcPr>
          <w:p>
            <w:r/>
            <w:r>
              <w:rPr>
                <w:b w:val="0"/>
                <w:sz w:val="19"/>
              </w:rPr>
              <w:t>Valid</w:t>
            </w:r>
          </w:p>
        </w:tc>
      </w:tr>
    </w:tbl>
    <w:p>
      <w:pPr>
        <w:spacing w:after="80"/>
      </w:pPr>
    </w:p>
    <w:p>
      <w:pPr>
        <w:spacing w:after="200"/>
      </w:pPr>
      <w:r>
        <w:rPr>
          <w:b w:val="0"/>
          <w:i w:val="0"/>
        </w:rPr>
        <w:t>The red-flag result is the one number in this project that reproduces cleanly today — offline, in about four seconds, with no API keys at all. That is a real asset.</w:t>
      </w:r>
    </w:p>
    <w:p>
      <w:pPr>
        <w:pStyle w:val="Heading2"/>
      </w:pPr>
      <w:r>
        <w:t>1.2 Your corpus is eight times bigger than your documentation says</w:t>
      </w:r>
    </w:p>
    <w:p>
      <w:pPr>
        <w:spacing w:after="120"/>
      </w:pPr>
      <w:r>
        <w:rPr>
          <w:b w:val="0"/>
          <w:i w:val="0"/>
        </w:rPr>
        <w:t xml:space="preserve">Both docs/DOCUMED.md and your corpus audit record 131 documents. The live database holds </w:t>
      </w:r>
      <w:r>
        <w:rPr>
          <w:b/>
          <w:i w:val="0"/>
        </w:rPr>
        <w:t>1,009 documents and 3,816 chunks.</w:t>
      </w:r>
      <w:r>
        <w:rPr>
          <w:b w:val="0"/>
          <w:i w:val="0"/>
        </w:rPr>
        <w:t xml:space="preserve"> The ingestion that produced them was never written back into the documentation.</w:t>
      </w:r>
    </w:p>
    <w:p>
      <w:pPr>
        <w:spacing w:after="40"/>
        <w:ind w:left="173"/>
        <w:shd w:val="clear" w:fill="FDECEC"/>
      </w:pPr>
      <w:r>
        <w:rPr>
          <w:b/>
          <w:sz w:val="21"/>
        </w:rPr>
        <w:t>A correction to an earlier draft of this plan</w:t>
      </w:r>
    </w:p>
    <w:p>
      <w:pPr>
        <w:spacing w:after="200"/>
        <w:ind w:left="173"/>
        <w:shd w:val="clear" w:fill="FDECEC"/>
      </w:pPr>
      <w:r>
        <w:rPr>
          <w:sz w:val="20"/>
        </w:rPr>
        <w:t>An earlier version of this document said that corpus growth had fixed your retrieval-gradability problem, quoting a jump from 21.4% to about 51%. That was wrong. It compared the CURRENT gold files against the CURRENT corpus and set the result beside an April figure computed on a DIFFERENT gold set. The numbers were never comparable.</w:t>
        <w:br/>
        <w:br/>
        <w:t>Measured properly, on the same 518 April gold strings:</w:t>
        <w:br/>
        <w:t xml:space="preserve">    against the April corpus (131 docs)  -&gt;  111/518 = 21.4%</w:t>
        <w:br/>
        <w:t xml:space="preserve">    against today's corpus (1,009 docs)  -&gt;  115/518 = 22.2%</w:t>
        <w:br/>
        <w:br/>
        <w:t>Growing the corpus 7.7x bought +0.8 percentage points. Essentially nothing.</w:t>
      </w:r>
    </w:p>
    <w:p>
      <w:pPr>
        <w:spacing w:after="160"/>
      </w:pPr>
      <w:r>
        <w:rPr>
          <w:b w:val="0"/>
          <w:i w:val="0"/>
        </w:rPr>
        <w:t>The reason is the corpus composition problem in §1.3 (F8): the 878 new documents are almost all MedlinePlus patient-education pages, while your gold rows cite specific sources — WHO IMAI, mhGAP, IMCI, named NHS topics, MoHP standard treatment protocols. Adding more of the wrong kind of document does not make the right ones appear.</w:t>
      </w:r>
    </w:p>
    <w:p>
      <w:pPr>
        <w:spacing w:after="80"/>
      </w:pPr>
      <w:r>
        <w:rPr>
          <w:b/>
          <w:i w:val="0"/>
        </w:rPr>
        <w:t>Where the apparent improvement actually came from</w:t>
      </w:r>
    </w:p>
    <w:p>
      <w:pPr>
        <w:spacing w:after="80"/>
      </w:pPr>
      <w:r>
        <w:rPr>
          <w:b w:val="0"/>
          <w:i w:val="0"/>
        </w:rPr>
        <w:t>Your gold files were rewritten on 21 April 2026 by eval/scripts/apply_gold_rewrite_2026_04_21.py. Across 198 rows and 604 source entries:</w:t>
      </w:r>
    </w:p>
    <w:tbl>
      <w:tblPr>
        <w:tblStyle w:val="LightGrid-Accent1"/>
        <w:tblW w:type="auto" w:w="0"/>
        <w:jc w:val="center"/>
        <w:tblLook w:firstColumn="1" w:firstRow="1" w:lastColumn="0" w:lastRow="0" w:noHBand="0" w:noVBand="1" w:val="04A0"/>
      </w:tblPr>
      <w:tblGrid>
        <w:gridCol w:w="3264"/>
        <w:gridCol w:w="3264"/>
        <w:gridCol w:w="3264"/>
      </w:tblGrid>
      <w:tr>
        <w:tc>
          <w:tcPr>
            <w:tcW w:type="dxa" w:w="4896"/>
          </w:tcPr>
          <w:p>
            <w:r/>
            <w:r>
              <w:rPr>
                <w:b/>
                <w:sz w:val="19"/>
              </w:rPr>
              <w:t>Transform</w:t>
            </w:r>
          </w:p>
        </w:tc>
        <w:tc>
          <w:tcPr>
            <w:tcW w:type="dxa" w:w="2304"/>
          </w:tcPr>
          <w:p>
            <w:r/>
            <w:r>
              <w:rPr>
                <w:b/>
                <w:sz w:val="19"/>
              </w:rPr>
              <w:t>Entries</w:t>
            </w:r>
          </w:p>
        </w:tc>
        <w:tc>
          <w:tcPr>
            <w:tcW w:type="dxa" w:w="2304"/>
          </w:tcPr>
          <w:p>
            <w:r/>
            <w:r>
              <w:rPr>
                <w:b/>
                <w:sz w:val="19"/>
              </w:rPr>
              <w:t>Share</w:t>
            </w:r>
          </w:p>
        </w:tc>
      </w:tr>
      <w:tr>
        <w:tc>
          <w:tcPr>
            <w:tcW w:type="dxa" w:w="4896"/>
          </w:tcPr>
          <w:p>
            <w:r/>
            <w:r>
              <w:rPr>
                <w:b/>
                <w:sz w:val="19"/>
              </w:rPr>
              <w:t>D — dropped as an invalid label</w:t>
            </w:r>
          </w:p>
        </w:tc>
        <w:tc>
          <w:tcPr>
            <w:tcW w:type="dxa" w:w="2304"/>
          </w:tcPr>
          <w:p>
            <w:r/>
            <w:r>
              <w:rPr>
                <w:b/>
                <w:sz w:val="19"/>
              </w:rPr>
              <w:t>365</w:t>
            </w:r>
          </w:p>
        </w:tc>
        <w:tc>
          <w:tcPr>
            <w:tcW w:type="dxa" w:w="2304"/>
          </w:tcPr>
          <w:p>
            <w:r/>
            <w:r>
              <w:rPr>
                <w:b/>
                <w:sz w:val="19"/>
              </w:rPr>
              <w:t>60%</w:t>
            </w:r>
          </w:p>
        </w:tc>
      </w:tr>
      <w:tr>
        <w:tc>
          <w:tcPr>
            <w:tcW w:type="dxa" w:w="4896"/>
          </w:tcPr>
          <w:p>
            <w:r/>
            <w:r>
              <w:rPr>
                <w:b w:val="0"/>
                <w:sz w:val="19"/>
              </w:rPr>
              <w:t>K — kept unchanged</w:t>
            </w:r>
          </w:p>
        </w:tc>
        <w:tc>
          <w:tcPr>
            <w:tcW w:type="dxa" w:w="2304"/>
          </w:tcPr>
          <w:p>
            <w:r/>
            <w:r>
              <w:rPr>
                <w:b w:val="0"/>
                <w:sz w:val="19"/>
              </w:rPr>
              <w:t>121</w:t>
            </w:r>
          </w:p>
        </w:tc>
        <w:tc>
          <w:tcPr>
            <w:tcW w:type="dxa" w:w="2304"/>
          </w:tcPr>
          <w:p>
            <w:r/>
            <w:r>
              <w:rPr>
                <w:b w:val="0"/>
                <w:sz w:val="19"/>
              </w:rPr>
              <w:t>20%</w:t>
            </w:r>
          </w:p>
        </w:tc>
      </w:tr>
      <w:tr>
        <w:tc>
          <w:tcPr>
            <w:tcW w:type="dxa" w:w="4896"/>
          </w:tcPr>
          <w:p>
            <w:r/>
            <w:r>
              <w:rPr>
                <w:b w:val="0"/>
                <w:sz w:val="19"/>
              </w:rPr>
              <w:t>I — queued as an ingest candidate</w:t>
            </w:r>
          </w:p>
        </w:tc>
        <w:tc>
          <w:tcPr>
            <w:tcW w:type="dxa" w:w="2304"/>
          </w:tcPr>
          <w:p>
            <w:r/>
            <w:r>
              <w:rPr>
                <w:b w:val="0"/>
                <w:sz w:val="19"/>
              </w:rPr>
              <w:t>88</w:t>
            </w:r>
          </w:p>
        </w:tc>
        <w:tc>
          <w:tcPr>
            <w:tcW w:type="dxa" w:w="2304"/>
          </w:tcPr>
          <w:p>
            <w:r/>
            <w:r>
              <w:rPr>
                <w:b w:val="0"/>
                <w:sz w:val="19"/>
              </w:rPr>
              <w:t>15%</w:t>
            </w:r>
          </w:p>
        </w:tc>
      </w:tr>
      <w:tr>
        <w:tc>
          <w:tcPr>
            <w:tcW w:type="dxa" w:w="4896"/>
          </w:tcPr>
          <w:p>
            <w:r/>
            <w:r>
              <w:rPr>
                <w:b/>
                <w:sz w:val="19"/>
              </w:rPr>
              <w:t>S — substituted with a corpus-aligned title</w:t>
            </w:r>
          </w:p>
        </w:tc>
        <w:tc>
          <w:tcPr>
            <w:tcW w:type="dxa" w:w="2304"/>
          </w:tcPr>
          <w:p>
            <w:r/>
            <w:r>
              <w:rPr>
                <w:b/>
                <w:sz w:val="19"/>
              </w:rPr>
              <w:t>30</w:t>
            </w:r>
          </w:p>
        </w:tc>
        <w:tc>
          <w:tcPr>
            <w:tcW w:type="dxa" w:w="2304"/>
          </w:tcPr>
          <w:p>
            <w:r/>
            <w:r>
              <w:rPr>
                <w:b/>
                <w:sz w:val="19"/>
              </w:rPr>
              <w:t>5%</w:t>
            </w:r>
          </w:p>
        </w:tc>
      </w:tr>
    </w:tbl>
    <w:p>
      <w:pPr>
        <w:spacing w:after="80"/>
      </w:pPr>
    </w:p>
    <w:p>
      <w:pPr>
        <w:spacing w:after="120"/>
      </w:pPr>
      <w:r>
        <w:rPr>
          <w:b w:val="0"/>
          <w:i w:val="0"/>
        </w:rPr>
        <w:t>Dropping 60% of the entries — disproportionately the ones nothing in the corpus could match — raises the remaining percentage by definition. That is survivorship, not improvement. A further 57 of 228 gold rows (25%) had every source dropped and are now excluded from retrieval scoring entirely.</w:t>
      </w:r>
    </w:p>
    <w:p>
      <w:pPr>
        <w:spacing w:after="160"/>
      </w:pPr>
      <w:r>
        <w:rPr>
          <w:b w:val="0"/>
          <w:i w:val="0"/>
        </w:rPr>
        <w:t>Was the rewrite wrong? Mostly no — and this matters for how you defend it. Many drops are plainly correct; the script's own note on one row reads "SOCRATES is a template tag, not a retrieval source", which is a genuinely bad label. The problem is not the cleanup. The problem is comparing a number computed after it with one computed before it and calling the difference progress.</w:t>
      </w:r>
    </w:p>
    <w:p>
      <w:pPr>
        <w:spacing w:after="40"/>
        <w:ind w:left="173"/>
        <w:shd w:val="clear" w:fill="FFF4E5"/>
      </w:pPr>
      <w:r>
        <w:rPr>
          <w:b/>
          <w:sz w:val="21"/>
        </w:rPr>
        <w:t>What this means for the paper</w:t>
      </w:r>
    </w:p>
    <w:p>
      <w:pPr>
        <w:spacing w:after="200"/>
        <w:ind w:left="173"/>
        <w:shd w:val="clear" w:fill="FFF4E5"/>
      </w:pPr>
      <w:r>
        <w:rPr>
          <w:sz w:val="20"/>
        </w:rPr>
        <w:t>Keep retrieval recall OFF the headline. Your original decision — faithfulness carries correctness, retrieval recall is a caveated coverage bound — was right.</w:t>
        <w:br/>
        <w:br/>
        <w:t>If you report retrieval recall at all, disclose three things: the gold was rewritten after the fact, 60% of source entries were dropped, and 25% of rows cannot be scored. A reviewer who finds apply_gold_rewrite_2026_04_21.py in your repository without those disclosures in the paper will distrust the entire evaluation. The 5% substitution rate is separately worth naming as a mild circularity: those labels were changed to match what the corpus contains.</w:t>
      </w:r>
    </w:p>
    <w:p>
      <w:pPr>
        <w:pStyle w:val="Heading2"/>
      </w:pPr>
      <w:r>
        <w:t>1.3 The problems that block a paper</w:t>
      </w:r>
    </w:p>
    <w:p>
      <w:pPr>
        <w:spacing w:after="120"/>
      </w:pPr>
      <w:r>
        <w:rPr>
          <w:b/>
          <w:i w:val="0"/>
          <w:color w:val="A31D1D"/>
        </w:rPr>
        <w:t xml:space="preserve">F3 — Your generator model no longer exists. </w:t>
      </w:r>
      <w:r>
        <w:rPr>
          <w:b w:val="0"/>
          <w:i w:val="0"/>
        </w:rPr>
        <w:t xml:space="preserve">app/RAG.py line 150 requests llama-3.3-70b-versatile. Groq returns 404 model_not_found. It has been decommissioned. Groq now serves gpt-oss-120b, gpt-oss-20b and qwen3.8-27b instead. </w:t>
      </w:r>
      <w:r>
        <w:rPr>
          <w:b/>
          <w:i w:val="0"/>
        </w:rPr>
        <w:t>Every number in your repository came from a model you can no longer call, so all results must be regenerated regardless of any other decision.</w:t>
      </w:r>
    </w:p>
    <w:p>
      <w:pPr>
        <w:spacing w:after="120"/>
      </w:pPr>
      <w:r>
        <w:rPr>
          <w:b/>
          <w:i w:val="0"/>
          <w:color w:val="A31D1D"/>
        </w:rPr>
        <w:t xml:space="preserve">F4 — There is a live safety hole in your scope guard. </w:t>
      </w:r>
      <w:r>
        <w:rPr>
          <w:b w:val="0"/>
          <w:i w:val="0"/>
        </w:rPr>
        <w:t>This is the most urgent finding in this document. Your policy filter classifies the bluntest and most dangerous form of diagnosis as safe:</w:t>
      </w:r>
    </w:p>
    <w:p>
      <w:pPr>
        <w:spacing w:before="80" w:after="160"/>
        <w:ind w:left="360"/>
        <w:shd w:val="clear" w:fill="F4F6F8"/>
      </w:pPr>
      <w:r>
        <w:rPr>
          <w:rFonts w:ascii="Consolas" w:hAnsi="Consolas"/>
          <w:sz w:val="18"/>
        </w:rPr>
        <w:t>'safe'        &lt;- "You have type 2 diabetes."</w:t>
        <w:br/>
        <w:t>'safe'        &lt;- "You have asthma."</w:t>
        <w:br/>
        <w:t>'safe'        &lt;- "You likely have anemia."</w:t>
        <w:br/>
        <w:t>'diagnostic'  &lt;- "This sounds like asthma, but see a doctor."</w:t>
        <w:br/>
        <w:t>'diagnostic'  &lt;- "Most likely you have hypertension."</w:t>
      </w:r>
    </w:p>
    <w:p>
      <w:pPr>
        <w:spacing w:after="160"/>
      </w:pPr>
      <w:r>
        <w:rPr>
          <w:b w:val="0"/>
          <w:i w:val="0"/>
        </w:rPr>
        <w:t>Only hedged phrasings are caught. A flat assertion — "You have X" — walks straight through. Your own test (eval/test_scope_guard.py line 56) says this should be caught, so that test has been failing against committed code, and because CI runs that file, main has been red. Tracing it with git shows the cause: commit b13bd83 ("hallucination-zero sprint … scope-guard relax") loosened the guard to reduce over-refusal, and this hole was the price.</w:t>
      </w:r>
    </w:p>
    <w:p>
      <w:pPr>
        <w:spacing w:after="40"/>
        <w:ind w:left="173"/>
        <w:shd w:val="clear" w:fill="FDECEC"/>
      </w:pPr>
      <w:r>
        <w:rPr>
          <w:b/>
          <w:sz w:val="21"/>
        </w:rPr>
        <w:t>Why this matters twice over</w:t>
      </w:r>
    </w:p>
    <w:p>
      <w:pPr>
        <w:spacing w:after="200"/>
        <w:ind w:left="173"/>
        <w:shd w:val="clear" w:fill="FDECEC"/>
      </w:pPr>
      <w:r>
        <w:rPr>
          <w:sz w:val="20"/>
        </w:rPr>
        <w:t>It is a real safety bug in a deployed system and should be fixed this week. It is also the single best piece of evidence for your paper's thesis: here is a live system trading safety away to buy back access, with the exact commit, date and consequence on record. Capture the broken behaviour as evidence before fixing it.</w:t>
      </w:r>
    </w:p>
    <w:p>
      <w:pPr>
        <w:spacing w:after="120"/>
      </w:pPr>
      <w:r>
        <w:rPr>
          <w:b/>
          <w:i w:val="0"/>
          <w:color w:val="A31D1D"/>
        </w:rPr>
        <w:t xml:space="preserve">F5 — Your headline result is statistically null. </w:t>
      </w:r>
      <w:r>
        <w:rPr>
          <w:b w:val="0"/>
          <w:i w:val="0"/>
        </w:rPr>
        <w:t>Re-analysing eval/baselines/hallucination_compare.json:</w:t>
      </w:r>
    </w:p>
    <w:p>
      <w:pPr>
        <w:spacing w:before="80" w:after="160"/>
        <w:ind w:left="360"/>
        <w:shd w:val="clear" w:fill="F4F6F8"/>
      </w:pPr>
      <w:r>
        <w:rPr>
          <w:rFonts w:ascii="Consolas" w:hAnsi="Consolas"/>
          <w:sz w:val="18"/>
        </w:rPr>
        <w:t>vanilla : 17/18 claim sentences unsupported = 94.4%</w:t>
        <w:br/>
        <w:t>MediRAG : 10/12 claim sentences unsupported = 83.3%</w:t>
        <w:br/>
        <w:t>absolute reduction .................. 11.1 percentage points</w:t>
        <w:br/>
        <w:t>Fisher exact, two-sided ............. p = 0.548</w:t>
      </w:r>
    </w:p>
    <w:p>
      <w:pPr>
        <w:spacing w:after="80"/>
      </w:pPr>
      <w:r>
        <w:rPr>
          <w:b w:val="0"/>
          <w:i w:val="0"/>
        </w:rPr>
        <w:t>In plain terms: that result is indistinguishable from random chance. Three further problems compound it:</w:t>
      </w:r>
    </w:p>
    <w:p>
      <w:pPr>
        <w:pStyle w:val="ListBullet"/>
        <w:spacing w:after="60"/>
      </w:pPr>
      <w:r>
        <w:t>The reported "38% reduction" (144.07 → 89.29 per 1000) divides claim-sentence failures by total sentences. The improvement comes from the system emitting six fewer claim sentences, not from better grounding.</w:t>
      </w:r>
    </w:p>
    <w:p>
      <w:pPr>
        <w:pStyle w:val="ListBullet"/>
        <w:spacing w:after="60"/>
      </w:pPr>
      <w:r>
        <w:t>The run stopped at 10 of 20 planned cases — quota_exhausted: true.</w:t>
      </w:r>
    </w:p>
    <w:p>
      <w:pPr>
        <w:pStyle w:val="ListBullet"/>
        <w:spacing w:after="60"/>
      </w:pPr>
      <w:r>
        <w:t>The judge is cross-encoder/nli-deberta-v3-base, which is the same model your guardrail uses to filter. You are grading the exam you wrote the answers to.</w:t>
      </w:r>
    </w:p>
    <w:p>
      <w:pPr>
        <w:spacing w:after="80"/>
      </w:pPr>
    </w:p>
    <w:p>
      <w:pPr>
        <w:spacing w:after="120"/>
      </w:pPr>
      <w:r>
        <w:rPr>
          <w:b/>
          <w:i w:val="0"/>
          <w:color w:val="A31D1D"/>
        </w:rPr>
        <w:t xml:space="preserve">F8 — Your corpus is not Nepal-grounded, and a reviewer will check. </w:t>
      </w:r>
      <w:r>
        <w:rPr>
          <w:b w:val="0"/>
          <w:i w:val="0"/>
        </w:rPr>
        <w:t>This is new and your August plan never caught it.</w:t>
      </w:r>
    </w:p>
    <w:tbl>
      <w:tblPr>
        <w:tblStyle w:val="LightGrid-Accent1"/>
        <w:tblW w:type="auto" w:w="0"/>
        <w:jc w:val="center"/>
        <w:tblLook w:firstColumn="1" w:firstRow="1" w:lastColumn="0" w:lastRow="0" w:noHBand="0" w:noVBand="1" w:val="04A0"/>
      </w:tblPr>
      <w:tblGrid>
        <w:gridCol w:w="3264"/>
        <w:gridCol w:w="3264"/>
        <w:gridCol w:w="3264"/>
      </w:tblGrid>
      <w:tr>
        <w:tc>
          <w:tcPr>
            <w:tcW w:type="dxa" w:w="5184"/>
          </w:tcPr>
          <w:p>
            <w:r/>
            <w:r>
              <w:rPr>
                <w:b/>
                <w:sz w:val="19"/>
              </w:rPr>
              <w:t>Source</w:t>
            </w:r>
          </w:p>
        </w:tc>
        <w:tc>
          <w:tcPr>
            <w:tcW w:type="dxa" w:w="2304"/>
          </w:tcPr>
          <w:p>
            <w:r/>
            <w:r>
              <w:rPr>
                <w:b/>
                <w:sz w:val="19"/>
              </w:rPr>
              <w:t>Documents</w:t>
            </w:r>
          </w:p>
        </w:tc>
        <w:tc>
          <w:tcPr>
            <w:tcW w:type="dxa" w:w="2304"/>
          </w:tcPr>
          <w:p>
            <w:r/>
            <w:r>
              <w:rPr>
                <w:b/>
                <w:sz w:val="19"/>
              </w:rPr>
              <w:t>Share</w:t>
            </w:r>
          </w:p>
        </w:tc>
      </w:tr>
      <w:tr>
        <w:tc>
          <w:tcPr>
            <w:tcW w:type="dxa" w:w="5184"/>
          </w:tcPr>
          <w:p>
            <w:r/>
            <w:r>
              <w:rPr>
                <w:b/>
                <w:sz w:val="19"/>
              </w:rPr>
              <w:t>MedlinePlus (US consumer health)</w:t>
            </w:r>
          </w:p>
        </w:tc>
        <w:tc>
          <w:tcPr>
            <w:tcW w:type="dxa" w:w="2304"/>
          </w:tcPr>
          <w:p>
            <w:r/>
            <w:r>
              <w:rPr>
                <w:b/>
                <w:sz w:val="19"/>
              </w:rPr>
              <w:t>826</w:t>
            </w:r>
          </w:p>
        </w:tc>
        <w:tc>
          <w:tcPr>
            <w:tcW w:type="dxa" w:w="2304"/>
          </w:tcPr>
          <w:p>
            <w:r/>
            <w:r>
              <w:rPr>
                <w:b/>
                <w:sz w:val="19"/>
              </w:rPr>
              <w:t>82%</w:t>
            </w:r>
          </w:p>
        </w:tc>
      </w:tr>
      <w:tr>
        <w:tc>
          <w:tcPr>
            <w:tcW w:type="dxa" w:w="5184"/>
          </w:tcPr>
          <w:p>
            <w:r/>
            <w:r>
              <w:rPr>
                <w:b w:val="0"/>
                <w:sz w:val="19"/>
              </w:rPr>
              <w:t>NHS</w:t>
            </w:r>
          </w:p>
        </w:tc>
        <w:tc>
          <w:tcPr>
            <w:tcW w:type="dxa" w:w="2304"/>
          </w:tcPr>
          <w:p>
            <w:r/>
            <w:r>
              <w:rPr>
                <w:b w:val="0"/>
                <w:sz w:val="19"/>
              </w:rPr>
              <w:t>73</w:t>
            </w:r>
          </w:p>
        </w:tc>
        <w:tc>
          <w:tcPr>
            <w:tcW w:type="dxa" w:w="2304"/>
          </w:tcPr>
          <w:p>
            <w:r/>
            <w:r>
              <w:rPr>
                <w:b w:val="0"/>
                <w:sz w:val="19"/>
              </w:rPr>
              <w:t>7%</w:t>
            </w:r>
          </w:p>
        </w:tc>
      </w:tr>
      <w:tr>
        <w:tc>
          <w:tcPr>
            <w:tcW w:type="dxa" w:w="5184"/>
          </w:tcPr>
          <w:p>
            <w:r/>
            <w:r>
              <w:rPr>
                <w:b w:val="0"/>
                <w:sz w:val="19"/>
              </w:rPr>
              <w:t>WHO</w:t>
            </w:r>
          </w:p>
        </w:tc>
        <w:tc>
          <w:tcPr>
            <w:tcW w:type="dxa" w:w="2304"/>
          </w:tcPr>
          <w:p>
            <w:r/>
            <w:r>
              <w:rPr>
                <w:b w:val="0"/>
                <w:sz w:val="19"/>
              </w:rPr>
              <w:t>45</w:t>
            </w:r>
          </w:p>
        </w:tc>
        <w:tc>
          <w:tcPr>
            <w:tcW w:type="dxa" w:w="2304"/>
          </w:tcPr>
          <w:p>
            <w:r/>
            <w:r>
              <w:rPr>
                <w:b w:val="0"/>
                <w:sz w:val="19"/>
              </w:rPr>
              <w:t>4%</w:t>
            </w:r>
          </w:p>
        </w:tc>
      </w:tr>
      <w:tr>
        <w:tc>
          <w:tcPr>
            <w:tcW w:type="dxa" w:w="5184"/>
          </w:tcPr>
          <w:p>
            <w:r/>
            <w:r>
              <w:rPr>
                <w:b w:val="0"/>
                <w:sz w:val="19"/>
              </w:rPr>
              <w:t>EDCD, MoHP, WHO Nepal, NPHL, BPKIHS, CSH, DDA, Bir</w:t>
            </w:r>
          </w:p>
        </w:tc>
        <w:tc>
          <w:tcPr>
            <w:tcW w:type="dxa" w:w="2304"/>
          </w:tcPr>
          <w:p>
            <w:r/>
            <w:r>
              <w:rPr>
                <w:b w:val="0"/>
                <w:sz w:val="19"/>
              </w:rPr>
              <w:t>57 total</w:t>
            </w:r>
          </w:p>
        </w:tc>
        <w:tc>
          <w:tcPr>
            <w:tcW w:type="dxa" w:w="2304"/>
          </w:tcPr>
          <w:p>
            <w:r/>
            <w:r>
              <w:rPr>
                <w:b w:val="0"/>
                <w:sz w:val="19"/>
              </w:rPr>
              <w:t>5.6%</w:t>
            </w:r>
          </w:p>
        </w:tc>
      </w:tr>
      <w:tr>
        <w:tc>
          <w:tcPr>
            <w:tcW w:type="dxa" w:w="5184"/>
          </w:tcPr>
          <w:p>
            <w:r/>
            <w:r>
              <w:rPr>
                <w:b w:val="0"/>
                <w:sz w:val="19"/>
              </w:rPr>
              <w:t>Testing.com</w:t>
            </w:r>
          </w:p>
        </w:tc>
        <w:tc>
          <w:tcPr>
            <w:tcW w:type="dxa" w:w="2304"/>
          </w:tcPr>
          <w:p>
            <w:r/>
            <w:r>
              <w:rPr>
                <w:b w:val="0"/>
                <w:sz w:val="19"/>
              </w:rPr>
              <w:t>9</w:t>
            </w:r>
          </w:p>
        </w:tc>
        <w:tc>
          <w:tcPr>
            <w:tcW w:type="dxa" w:w="2304"/>
          </w:tcPr>
          <w:p>
            <w:r/>
            <w:r>
              <w:rPr>
                <w:b w:val="0"/>
                <w:sz w:val="19"/>
              </w:rPr>
              <w:t>1%</w:t>
            </w:r>
          </w:p>
        </w:tc>
      </w:tr>
    </w:tbl>
    <w:p>
      <w:pPr>
        <w:spacing w:after="80"/>
      </w:pPr>
    </w:p>
    <w:p>
      <w:pPr>
        <w:spacing w:after="160"/>
      </w:pPr>
      <w:r>
        <w:rPr>
          <w:b w:val="0"/>
          <w:i w:val="0"/>
        </w:rPr>
        <w:t>You cannot claim a "Nepal-grounded corpus" — that is one database query away from being disproved. Your Nepal contribution is real, but it lives in the routing layer: nepal_care_tiers.yaml (7 tiers), redflag_rules.yaml (45 rules), and the EDCD/MoHP/WHO-Nepal document subset. State the composition in Table 1 of the paper and frame it precisely. Never let a reviewer discover this for you.</w:t>
      </w:r>
    </w:p>
    <w:p>
      <w:pPr>
        <w:spacing w:after="80"/>
      </w:pPr>
      <w:r>
        <w:rPr>
          <w:b w:val="0"/>
          <w:i w:val="0"/>
        </w:rPr>
        <w:t>Also outstanding: over-refusal is 54.5% (F6); stages 3 and 5 are unimplemented, so 88 of your 329 gold rows have no code to grade (F9); and five API keys sit in plaintext comments in .env — never committed, but rotate them anyway.</w:t>
      </w:r>
    </w:p>
    <w:p>
      <w:r>
        <w:br w:type="page"/>
      </w:r>
    </w:p>
    <w:p>
      <w:pPr>
        <w:pStyle w:val="Heading1"/>
      </w:pPr>
      <w:r>
        <w:t>2. The paper</w:t>
      </w:r>
    </w:p>
    <w:p>
      <w:pPr>
        <w:pStyle w:val="Heading2"/>
      </w:pPr>
      <w:r>
        <w:t>2.1 The novel measurement — why this is publishable</w:t>
      </w:r>
    </w:p>
    <w:p>
      <w:pPr>
        <w:spacing w:after="120"/>
      </w:pPr>
      <w:r>
        <w:rPr>
          <w:b w:val="0"/>
          <w:i w:val="0"/>
        </w:rPr>
        <w:t>Every comparable system — FActScore, SelfCheckGPT, ALCE, RARR, Self-RAG, CRAG — validates hallucination detection against human labels. None of them validates refusal against anything. Abstention gets reported as a raw rate, with no ground truth for whether any individual refusal was actually justified.</w:t>
      </w:r>
    </w:p>
    <w:p>
      <w:pPr>
        <w:spacing w:after="40"/>
        <w:ind w:left="173"/>
        <w:shd w:val="clear" w:fill="E8F1F8"/>
      </w:pPr>
      <w:r>
        <w:rPr>
          <w:b/>
          <w:sz w:val="21"/>
        </w:rPr>
        <w:t>The gap you can fill</w:t>
      </w:r>
    </w:p>
    <w:p>
      <w:pPr>
        <w:spacing w:after="200"/>
        <w:ind w:left="173"/>
        <w:shd w:val="clear" w:fill="E8F1F8"/>
      </w:pPr>
      <w:r>
        <w:rPr>
          <w:sz w:val="20"/>
        </w:rPr>
        <w:t>With clinician annotators, you can produce a clinician-adjudicated over-refusal rate: for every refusal the system makes, did a qualified clinician judge that a safe and useful answer was in fact available? Nobody reports this. It is a genuinely novel axis, and it is the y-axis of your central figure.</w:t>
      </w:r>
    </w:p>
    <w:p>
      <w:pPr>
        <w:pStyle w:val="Heading2"/>
      </w:pPr>
      <w:r>
        <w:t>2.2 Contributions, in order of strength</w:t>
      </w:r>
    </w:p>
    <w:p>
      <w:pPr>
        <w:pStyle w:val="ListNumber"/>
        <w:spacing w:after="60"/>
      </w:pPr>
      <w:r>
        <w:rPr>
          <w:b/>
        </w:rPr>
        <w:t xml:space="preserve">Clinician-adjudicated safety–access frontier </w:t>
      </w:r>
      <w:r>
        <w:t>for a deployed system, threshold-swept, with your shipped operating point marked. This is the novel measurement.</w:t>
      </w:r>
    </w:p>
    <w:p>
      <w:pPr>
        <w:pStyle w:val="ListNumber"/>
        <w:spacing w:after="60"/>
      </w:pPr>
      <w:r>
        <w:rPr>
          <w:b/>
        </w:rPr>
        <w:t xml:space="preserve">Streaming-safe sentence-level guardrailing — </w:t>
      </w:r>
      <w:r>
        <w:t>faithfulness filtering under token streaming, where you may never display text you later retract. Batch-mode prior work does not address this at all. (guardrails.py:681)</w:t>
      </w:r>
    </w:p>
    <w:p>
      <w:pPr>
        <w:pStyle w:val="ListNumber"/>
        <w:spacing w:after="60"/>
      </w:pPr>
      <w:r>
        <w:rPr>
          <w:b/>
        </w:rPr>
        <w:t xml:space="preserve">Deterministic pre-LLM emergency triage, </w:t>
      </w:r>
      <w:r>
        <w:t>validated on a held-out set written by a clinician who has not seen your rules. The LLM is never in the emergency path — that is a real architectural claim.</w:t>
      </w:r>
    </w:p>
    <w:p>
      <w:pPr>
        <w:pStyle w:val="ListNumber"/>
        <w:spacing w:after="60"/>
      </w:pPr>
      <w:r>
        <w:rPr>
          <w:b/>
        </w:rPr>
        <w:t xml:space="preserve">Citation binding as enforcement, not measurement — </w:t>
      </w:r>
      <w:r>
        <w:t>ALCE and Liu et al. measure attribution after the fact; you enforce it at generation time by restricting the entailment premise to cited chunks. (guardrails.py:279)</w:t>
      </w:r>
    </w:p>
    <w:p>
      <w:pPr>
        <w:pStyle w:val="ListNumber"/>
        <w:spacing w:after="60"/>
      </w:pPr>
      <w:r>
        <w:rPr>
          <w:b/>
        </w:rPr>
        <w:t xml:space="preserve">Nepal care-tier routing and an adversarial safety benchmark, </w:t>
      </w:r>
      <w:r>
        <w:t>framed as a routing-layer contribution, not a corpus claim.</w:t>
      </w:r>
    </w:p>
    <w:p>
      <w:pPr>
        <w:pStyle w:val="Heading2"/>
      </w:pPr>
      <w:r>
        <w:t>2.3 What to cut, deliberately</w:t>
      </w:r>
    </w:p>
    <w:p>
      <w:pPr>
        <w:pStyle w:val="ListBullet"/>
        <w:spacing w:after="60"/>
      </w:pPr>
      <w:r>
        <w:t>Do not build stages 3 and 5. Cut them from the architecture claim and drop those 88 gold rows. This is product work with zero paper value.</w:t>
      </w:r>
    </w:p>
    <w:p>
      <w:pPr>
        <w:pStyle w:val="ListBullet"/>
        <w:spacing w:after="60"/>
      </w:pPr>
      <w:r>
        <w:t>Do not use MIRAGE, MedQA or MedMCQA. They are exam-style multiple choice; your system deliberately refuses diagnostic reasoning and would score near zero for entirely correct reasons. Say this explicitly — it makes a good limitations paragraph.</w:t>
      </w:r>
    </w:p>
    <w:p>
      <w:pPr>
        <w:pStyle w:val="ListBullet"/>
        <w:spacing w:after="60"/>
      </w:pPr>
      <w:r>
        <w:t>Do not claim a Nepal-grounded corpus (see F8).</w:t>
      </w:r>
    </w:p>
    <w:p>
      <w:pPr>
        <w:pStyle w:val="Heading2"/>
      </w:pPr>
      <w:r>
        <w:t>2.4 Where to send it</w:t>
      </w:r>
    </w:p>
    <w:tbl>
      <w:tblPr>
        <w:tblStyle w:val="LightGrid-Accent1"/>
        <w:tblW w:type="auto" w:w="0"/>
        <w:jc w:val="center"/>
        <w:tblLook w:firstColumn="1" w:firstRow="1" w:lastColumn="0" w:lastRow="0" w:noHBand="0" w:noVBand="1" w:val="04A0"/>
      </w:tblPr>
      <w:tblGrid>
        <w:gridCol w:w="3264"/>
        <w:gridCol w:w="3264"/>
        <w:gridCol w:w="3264"/>
      </w:tblGrid>
      <w:tr>
        <w:tc>
          <w:tcPr>
            <w:tcW w:type="dxa" w:w="2736"/>
          </w:tcPr>
          <w:p>
            <w:r/>
            <w:r>
              <w:rPr>
                <w:b/>
                <w:sz w:val="19"/>
              </w:rPr>
              <w:t>Venue</w:t>
            </w:r>
          </w:p>
        </w:tc>
        <w:tc>
          <w:tcPr>
            <w:tcW w:type="dxa" w:w="1440"/>
          </w:tcPr>
          <w:p>
            <w:r/>
            <w:r>
              <w:rPr>
                <w:b/>
                <w:sz w:val="19"/>
              </w:rPr>
              <w:t>Role</w:t>
            </w:r>
          </w:p>
        </w:tc>
        <w:tc>
          <w:tcPr>
            <w:tcW w:type="dxa" w:w="5616"/>
          </w:tcPr>
          <w:p>
            <w:r/>
            <w:r>
              <w:rPr>
                <w:b/>
                <w:sz w:val="19"/>
              </w:rPr>
              <w:t>Notes</w:t>
            </w:r>
          </w:p>
        </w:tc>
      </w:tr>
      <w:tr>
        <w:tc>
          <w:tcPr>
            <w:tcW w:type="dxa" w:w="2736"/>
          </w:tcPr>
          <w:p>
            <w:r/>
            <w:r>
              <w:rPr>
                <w:b/>
                <w:sz w:val="19"/>
              </w:rPr>
              <w:t>JMIR / JMIR Med Inform</w:t>
            </w:r>
          </w:p>
        </w:tc>
        <w:tc>
          <w:tcPr>
            <w:tcW w:type="dxa" w:w="1440"/>
          </w:tcPr>
          <w:p>
            <w:r/>
            <w:r>
              <w:rPr>
                <w:b/>
                <w:sz w:val="19"/>
              </w:rPr>
              <w:t>Primary</w:t>
            </w:r>
          </w:p>
        </w:tc>
        <w:tc>
          <w:tcPr>
            <w:tcW w:type="dxa" w:w="5616"/>
          </w:tcPr>
          <w:p>
            <w:r/>
            <w:r>
              <w:rPr>
                <w:b w:val="0"/>
                <w:sz w:val="19"/>
              </w:rPr>
              <w:t>Rolling submission, no deadline pressure. Deployment + evaluation is squarely their scope and the LMIC angle is valued. Article processing charge applies — check student and LMIC waivers.</w:t>
            </w:r>
          </w:p>
        </w:tc>
      </w:tr>
      <w:tr>
        <w:tc>
          <w:tcPr>
            <w:tcW w:type="dxa" w:w="2736"/>
          </w:tcPr>
          <w:p>
            <w:r/>
            <w:r>
              <w:rPr>
                <w:b w:val="0"/>
                <w:sz w:val="19"/>
              </w:rPr>
              <w:t>AMIA Annual Symposium</w:t>
            </w:r>
          </w:p>
        </w:tc>
        <w:tc>
          <w:tcPr>
            <w:tcW w:type="dxa" w:w="1440"/>
          </w:tcPr>
          <w:p>
            <w:r/>
            <w:r>
              <w:rPr>
                <w:b w:val="0"/>
                <w:sz w:val="19"/>
              </w:rPr>
              <w:t>Parallel</w:t>
            </w:r>
          </w:p>
        </w:tc>
        <w:tc>
          <w:tcPr>
            <w:tcW w:type="dxa" w:w="5616"/>
          </w:tcPr>
          <w:p>
            <w:r/>
            <w:r>
              <w:rPr>
                <w:b w:val="0"/>
                <w:sz w:val="19"/>
              </w:rPr>
              <w:t>Clinical informatics systems papers. Roughly a March deadline.</w:t>
            </w:r>
          </w:p>
        </w:tc>
      </w:tr>
      <w:tr>
        <w:tc>
          <w:tcPr>
            <w:tcW w:type="dxa" w:w="2736"/>
          </w:tcPr>
          <w:p>
            <w:r/>
            <w:r>
              <w:rPr>
                <w:b w:val="0"/>
                <w:sz w:val="19"/>
              </w:rPr>
              <w:t>ML4H</w:t>
            </w:r>
          </w:p>
        </w:tc>
        <w:tc>
          <w:tcPr>
            <w:tcW w:type="dxa" w:w="1440"/>
          </w:tcPr>
          <w:p>
            <w:r/>
            <w:r>
              <w:rPr>
                <w:b w:val="0"/>
                <w:sz w:val="19"/>
              </w:rPr>
              <w:t>Parallel</w:t>
            </w:r>
          </w:p>
        </w:tc>
        <w:tc>
          <w:tcPr>
            <w:tcW w:type="dxa" w:w="5616"/>
          </w:tcPr>
          <w:p>
            <w:r/>
            <w:r>
              <w:rPr>
                <w:b w:val="0"/>
                <w:sz w:val="19"/>
              </w:rPr>
              <w:t>Safety guardrails for medical LLMs. Roughly a September deadline.</w:t>
            </w:r>
          </w:p>
        </w:tc>
      </w:tr>
      <w:tr>
        <w:tc>
          <w:tcPr>
            <w:tcW w:type="dxa" w:w="2736"/>
          </w:tcPr>
          <w:p>
            <w:r/>
            <w:r>
              <w:rPr>
                <w:b w:val="0"/>
                <w:sz w:val="19"/>
              </w:rPr>
              <w:t>arXiv</w:t>
            </w:r>
          </w:p>
        </w:tc>
        <w:tc>
          <w:tcPr>
            <w:tcW w:type="dxa" w:w="1440"/>
          </w:tcPr>
          <w:p>
            <w:r/>
            <w:r>
              <w:rPr>
                <w:b w:val="0"/>
                <w:sz w:val="19"/>
              </w:rPr>
              <w:t>Preprint</w:t>
            </w:r>
          </w:p>
        </w:tc>
        <w:tc>
          <w:tcPr>
            <w:tcW w:type="dxa" w:w="5616"/>
          </w:tcPr>
          <w:p>
            <w:r/>
            <w:r>
              <w:rPr>
                <w:b w:val="0"/>
                <w:sz w:val="19"/>
              </w:rPr>
              <w:t>Post when Phase 4 completes — timestamps the work, costs nothing.</w:t>
            </w:r>
          </w:p>
        </w:tc>
      </w:tr>
      <w:tr>
        <w:tc>
          <w:tcPr>
            <w:tcW w:type="dxa" w:w="2736"/>
          </w:tcPr>
          <w:p>
            <w:r/>
            <w:r>
              <w:rPr>
                <w:b w:val="0"/>
                <w:sz w:val="19"/>
              </w:rPr>
              <w:t>EMNLP System Demonstrations</w:t>
            </w:r>
          </w:p>
        </w:tc>
        <w:tc>
          <w:tcPr>
            <w:tcW w:type="dxa" w:w="1440"/>
          </w:tcPr>
          <w:p>
            <w:r/>
            <w:r>
              <w:rPr>
                <w:b w:val="0"/>
                <w:sz w:val="19"/>
              </w:rPr>
              <w:t>Fallback</w:t>
            </w:r>
          </w:p>
        </w:tc>
        <w:tc>
          <w:tcPr>
            <w:tcW w:type="dxa" w:w="5616"/>
          </w:tcPr>
          <w:p>
            <w:r/>
            <w:r>
              <w:rPr>
                <w:b w:val="0"/>
                <w:sz w:val="19"/>
              </w:rPr>
              <w:t>Much lower bar. Insurance policy — you have a live demo.</w:t>
            </w:r>
          </w:p>
        </w:tc>
      </w:tr>
    </w:tbl>
    <w:p>
      <w:pPr>
        <w:spacing w:after="80"/>
      </w:pPr>
    </w:p>
    <w:p>
      <w:pPr>
        <w:spacing w:after="120"/>
      </w:pPr>
      <w:r>
        <w:rPr>
          <w:b w:val="0"/>
          <w:i/>
          <w:sz w:val="19"/>
        </w:rPr>
        <w:t>Verify every deadline yourself; conference cycles shift.</w:t>
      </w:r>
    </w:p>
    <w:p>
      <w:r>
        <w:br w:type="page"/>
      </w:r>
    </w:p>
    <w:p>
      <w:pPr>
        <w:pStyle w:val="Heading1"/>
      </w:pPr>
      <w:r>
        <w:t>3. Running this for free</w:t>
      </w:r>
    </w:p>
    <w:p>
      <w:pPr>
        <w:spacing w:after="160"/>
      </w:pPr>
      <w:r>
        <w:rPr>
          <w:b w:val="0"/>
          <w:i w:val="0"/>
        </w:rPr>
        <w:t>You said you do not want to spend money on APIs. You do not have to, and the free route is genuinely better for the paper than the paid one.</w:t>
      </w:r>
    </w:p>
    <w:p>
      <w:pPr>
        <w:pStyle w:val="Heading2"/>
      </w:pPr>
      <w:r>
        <w:t>3.1 What your machine can do</w:t>
      </w:r>
    </w:p>
    <w:p>
      <w:pPr>
        <w:spacing w:after="160"/>
      </w:pPr>
      <w:r>
        <w:rPr>
          <w:b w:val="0"/>
          <w:i w:val="0"/>
        </w:rPr>
        <w:t>Measured: Intel Xeon W-2145 at 3.7 GHz, 5 cores, 69 GB RAM, 410 GB free disk, AVX-512 — and no GPU (only a Microsoft Basic Display Adapter, so this is a virtualized host). That means CPU-only inference. It rules out large dense models. It does not block the plan.</w:t>
      </w:r>
    </w:p>
    <w:p>
      <w:pPr>
        <w:pStyle w:val="Heading2"/>
      </w:pPr>
      <w:r>
        <w:t>3.2 The fact the whole strategy turns on</w:t>
      </w:r>
    </w:p>
    <w:p>
      <w:pPr>
        <w:spacing w:after="40"/>
        <w:ind w:left="173"/>
        <w:shd w:val="clear" w:fill="E8F1F8"/>
      </w:pPr>
      <w:r>
        <w:rPr>
          <w:b/>
          <w:sz w:val="21"/>
        </w:rPr>
        <w:t>gpt-oss-20b is both open-weight AND served on Groq's free tier</w:t>
      </w:r>
    </w:p>
    <w:p>
      <w:pPr>
        <w:spacing w:after="200"/>
        <w:ind w:left="173"/>
        <w:shd w:val="clear" w:fill="E8F1F8"/>
      </w:pPr>
      <w:r>
        <w:rPr>
          <w:sz w:val="20"/>
        </w:rPr>
        <w:t>The same model weights can run in two places: on Groq for speed, and on your own machine for unlimited, perfectly reproducible runs. It is a Mixture-of-Experts model, so it activates only about 3.6B parameters per token — roughly 8B-class speed at considerably better quality. About 12 GB on disk.</w:t>
      </w:r>
    </w:p>
    <w:tbl>
      <w:tblPr>
        <w:tblStyle w:val="LightGrid-Accent1"/>
        <w:tblW w:type="auto" w:w="0"/>
        <w:jc w:val="center"/>
        <w:tblLook w:firstColumn="1" w:firstRow="1" w:lastColumn="0" w:lastRow="0" w:noHBand="0" w:noVBand="1" w:val="04A0"/>
      </w:tblPr>
      <w:tblGrid>
        <w:gridCol w:w="3264"/>
        <w:gridCol w:w="3264"/>
        <w:gridCol w:w="3264"/>
      </w:tblGrid>
      <w:tr>
        <w:tc>
          <w:tcPr>
            <w:tcW w:type="dxa" w:w="2736"/>
          </w:tcPr>
          <w:p>
            <w:r/>
            <w:r>
              <w:rPr>
                <w:b/>
                <w:sz w:val="19"/>
              </w:rPr>
            </w:r>
          </w:p>
        </w:tc>
        <w:tc>
          <w:tcPr>
            <w:tcW w:type="dxa" w:w="3456"/>
          </w:tcPr>
          <w:p>
            <w:r/>
            <w:r>
              <w:rPr>
                <w:b/>
                <w:sz w:val="19"/>
              </w:rPr>
              <w:t>Groq free tier</w:t>
            </w:r>
          </w:p>
        </w:tc>
        <w:tc>
          <w:tcPr>
            <w:tcW w:type="dxa" w:w="3600"/>
          </w:tcPr>
          <w:p>
            <w:r/>
            <w:r>
              <w:rPr>
                <w:b/>
                <w:sz w:val="19"/>
              </w:rPr>
              <w:t>Local gpt-oss-20b</w:t>
            </w:r>
          </w:p>
        </w:tc>
      </w:tr>
      <w:tr>
        <w:tc>
          <w:tcPr>
            <w:tcW w:type="dxa" w:w="2736"/>
          </w:tcPr>
          <w:p>
            <w:r/>
            <w:r>
              <w:rPr>
                <w:b w:val="0"/>
                <w:sz w:val="19"/>
              </w:rPr>
              <w:t>Speed</w:t>
            </w:r>
          </w:p>
        </w:tc>
        <w:tc>
          <w:tcPr>
            <w:tcW w:type="dxa" w:w="3456"/>
          </w:tcPr>
          <w:p>
            <w:r/>
            <w:r>
              <w:rPr>
                <w:b w:val="0"/>
                <w:sz w:val="19"/>
              </w:rPr>
              <w:t>Very fast</w:t>
            </w:r>
          </w:p>
        </w:tc>
        <w:tc>
          <w:tcPr>
            <w:tcW w:type="dxa" w:w="3600"/>
          </w:tcPr>
          <w:p>
            <w:r/>
            <w:r>
              <w:rPr>
                <w:b w:val="0"/>
                <w:sz w:val="19"/>
              </w:rPr>
              <w:t>~95 s per answer (estimate)</w:t>
            </w:r>
          </w:p>
        </w:tc>
      </w:tr>
      <w:tr>
        <w:tc>
          <w:tcPr>
            <w:tcW w:type="dxa" w:w="2736"/>
          </w:tcPr>
          <w:p>
            <w:r/>
            <w:r>
              <w:rPr>
                <w:b w:val="0"/>
                <w:sz w:val="19"/>
              </w:rPr>
              <w:t>Quota</w:t>
            </w:r>
          </w:p>
        </w:tc>
        <w:tc>
          <w:tcPr>
            <w:tcW w:type="dxa" w:w="3456"/>
          </w:tcPr>
          <w:p>
            <w:r/>
            <w:r>
              <w:rPr>
                <w:b w:val="0"/>
                <w:sz w:val="19"/>
              </w:rPr>
              <w:t>Daily token cap</w:t>
            </w:r>
          </w:p>
        </w:tc>
        <w:tc>
          <w:tcPr>
            <w:tcW w:type="dxa" w:w="3600"/>
          </w:tcPr>
          <w:p>
            <w:r/>
            <w:r>
              <w:rPr>
                <w:b/>
                <w:sz w:val="19"/>
              </w:rPr>
              <w:t>Unlimited</w:t>
            </w:r>
          </w:p>
        </w:tc>
      </w:tr>
      <w:tr>
        <w:tc>
          <w:tcPr>
            <w:tcW w:type="dxa" w:w="2736"/>
          </w:tcPr>
          <w:p>
            <w:r/>
            <w:r>
              <w:rPr>
                <w:b w:val="0"/>
                <w:sz w:val="19"/>
              </w:rPr>
              <w:t>Reproducible sampling</w:t>
            </w:r>
          </w:p>
        </w:tc>
        <w:tc>
          <w:tcPr>
            <w:tcW w:type="dxa" w:w="3456"/>
          </w:tcPr>
          <w:p>
            <w:r/>
            <w:r>
              <w:rPr>
                <w:b w:val="0"/>
                <w:sz w:val="19"/>
              </w:rPr>
              <w:t>Not guaranteed</w:t>
            </w:r>
          </w:p>
        </w:tc>
        <w:tc>
          <w:tcPr>
            <w:tcW w:type="dxa" w:w="3600"/>
          </w:tcPr>
          <w:p>
            <w:r/>
            <w:r>
              <w:rPr>
                <w:b/>
                <w:sz w:val="19"/>
              </w:rPr>
              <w:t>Exact, seed-pinned</w:t>
            </w:r>
          </w:p>
        </w:tc>
      </w:tr>
      <w:tr>
        <w:tc>
          <w:tcPr>
            <w:tcW w:type="dxa" w:w="2736"/>
          </w:tcPr>
          <w:p>
            <w:r/>
            <w:r>
              <w:rPr>
                <w:b w:val="0"/>
                <w:sz w:val="19"/>
              </w:rPr>
              <w:t>Survives the model being retired</w:t>
            </w:r>
          </w:p>
        </w:tc>
        <w:tc>
          <w:tcPr>
            <w:tcW w:type="dxa" w:w="3456"/>
          </w:tcPr>
          <w:p>
            <w:r/>
            <w:r>
              <w:rPr>
                <w:b/>
                <w:sz w:val="19"/>
              </w:rPr>
              <w:t>No — this already happened to you</w:t>
            </w:r>
          </w:p>
        </w:tc>
        <w:tc>
          <w:tcPr>
            <w:tcW w:type="dxa" w:w="3600"/>
          </w:tcPr>
          <w:p>
            <w:r/>
            <w:r>
              <w:rPr>
                <w:b/>
                <w:sz w:val="19"/>
              </w:rPr>
              <w:t>Yes</w:t>
            </w:r>
          </w:p>
        </w:tc>
      </w:tr>
    </w:tbl>
    <w:p>
      <w:pPr>
        <w:spacing w:after="80"/>
      </w:pPr>
    </w:p>
    <w:p>
      <w:pPr>
        <w:spacing w:after="120"/>
      </w:pPr>
      <w:r>
        <w:rPr>
          <w:b/>
          <w:i w:val="0"/>
        </w:rPr>
        <w:t xml:space="preserve">The strategy: </w:t>
      </w:r>
      <w:r>
        <w:rPr>
          <w:b w:val="0"/>
          <w:i w:val="0"/>
        </w:rPr>
        <w:t>Groq for bulk throughput, local for determinism-critical runs, quota overflow, and the permanent reproducibility archive. Validate that the two agree on a shared sample, then use whichever is available. No single point of failure, no money.</w:t>
      </w:r>
    </w:p>
    <w:p>
      <w:pPr>
        <w:spacing w:after="40"/>
        <w:ind w:left="173"/>
        <w:shd w:val="clear" w:fill="E8F1F8"/>
      </w:pPr>
      <w:r>
        <w:rPr>
          <w:b/>
          <w:sz w:val="21"/>
        </w:rPr>
        <w:t>This also writes your best methods paragraph</w:t>
      </w:r>
    </w:p>
    <w:p>
      <w:pPr>
        <w:spacing w:after="200"/>
        <w:ind w:left="173"/>
        <w:shd w:val="clear" w:fill="E8F1F8"/>
      </w:pPr>
      <w:r>
        <w:rPr>
          <w:sz w:val="20"/>
        </w:rPr>
        <w:t>"We use open-weight models pinned by hash, because our earlier results became unreproducible when a hosted model was decommissioned mid-project." That is not an excuse — it is exactly the reproducibility argument reviewers want to see, and you have lived proof of it.</w:t>
      </w:r>
    </w:p>
    <w:p>
      <w:pPr>
        <w:pStyle w:val="Heading2"/>
      </w:pPr>
      <w:r>
        <w:t>3.3 Model options</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2448"/>
          </w:tcPr>
          <w:p>
            <w:r/>
            <w:r>
              <w:rPr>
                <w:b/>
                <w:sz w:val="19"/>
              </w:rPr>
              <w:t>Model</w:t>
            </w:r>
          </w:p>
        </w:tc>
        <w:tc>
          <w:tcPr>
            <w:tcW w:type="dxa" w:w="1296"/>
          </w:tcPr>
          <w:p>
            <w:r/>
            <w:r>
              <w:rPr>
                <w:b/>
                <w:sz w:val="19"/>
              </w:rPr>
              <w:t>Size</w:t>
            </w:r>
          </w:p>
        </w:tc>
        <w:tc>
          <w:tcPr>
            <w:tcW w:type="dxa" w:w="1296"/>
          </w:tcPr>
          <w:p>
            <w:r/>
            <w:r>
              <w:rPr>
                <w:b/>
                <w:sz w:val="19"/>
              </w:rPr>
              <w:t>Fits 69 GB</w:t>
            </w:r>
          </w:p>
        </w:tc>
        <w:tc>
          <w:tcPr>
            <w:tcW w:type="dxa" w:w="1584"/>
          </w:tcPr>
          <w:p>
            <w:r/>
            <w:r>
              <w:rPr>
                <w:b/>
                <w:sz w:val="19"/>
              </w:rPr>
              <w:t>Est. speed</w:t>
            </w:r>
          </w:p>
        </w:tc>
        <w:tc>
          <w:tcPr>
            <w:tcW w:type="dxa" w:w="3168"/>
          </w:tcPr>
          <w:p>
            <w:r/>
            <w:r>
              <w:rPr>
                <w:b/>
                <w:sz w:val="19"/>
              </w:rPr>
              <w:t>Role</w:t>
            </w:r>
          </w:p>
        </w:tc>
      </w:tr>
      <w:tr>
        <w:tc>
          <w:tcPr>
            <w:tcW w:type="dxa" w:w="2448"/>
          </w:tcPr>
          <w:p>
            <w:r/>
            <w:r>
              <w:rPr>
                <w:b w:val="0"/>
                <w:sz w:val="19"/>
              </w:rPr>
              <w:t>gpt-oss-20b** (MoE)</w:t>
            </w:r>
          </w:p>
        </w:tc>
        <w:tc>
          <w:tcPr>
            <w:tcW w:type="dxa" w:w="1296"/>
          </w:tcPr>
          <w:p>
            <w:r/>
            <w:r>
              <w:rPr>
                <w:b w:val="0"/>
                <w:sz w:val="19"/>
              </w:rPr>
              <w:t>~12 GB</w:t>
            </w:r>
          </w:p>
        </w:tc>
        <w:tc>
          <w:tcPr>
            <w:tcW w:type="dxa" w:w="1296"/>
          </w:tcPr>
          <w:p>
            <w:r/>
            <w:r>
              <w:rPr>
                <w:b w:val="0"/>
                <w:sz w:val="19"/>
              </w:rPr>
              <w:t>Yes</w:t>
            </w:r>
          </w:p>
        </w:tc>
        <w:tc>
          <w:tcPr>
            <w:tcW w:type="dxa" w:w="1584"/>
          </w:tcPr>
          <w:p>
            <w:r/>
            <w:r>
              <w:rPr>
                <w:b w:val="0"/>
                <w:sz w:val="19"/>
              </w:rPr>
              <w:t>8–14 tok/s</w:t>
            </w:r>
          </w:p>
        </w:tc>
        <w:tc>
          <w:tcPr>
            <w:tcW w:type="dxa" w:w="3168"/>
          </w:tcPr>
          <w:p>
            <w:r/>
            <w:r>
              <w:rPr>
                <w:b/>
                <w:sz w:val="19"/>
              </w:rPr>
              <w:t>Primary local backbone</w:t>
            </w:r>
          </w:p>
        </w:tc>
      </w:tr>
      <w:tr>
        <w:tc>
          <w:tcPr>
            <w:tcW w:type="dxa" w:w="2448"/>
          </w:tcPr>
          <w:p>
            <w:r/>
            <w:r>
              <w:rPr>
                <w:b w:val="0"/>
                <w:sz w:val="19"/>
              </w:rPr>
              <w:t>qwen3-8b / llama-3.1-8b</w:t>
            </w:r>
          </w:p>
        </w:tc>
        <w:tc>
          <w:tcPr>
            <w:tcW w:type="dxa" w:w="1296"/>
          </w:tcPr>
          <w:p>
            <w:r/>
            <w:r>
              <w:rPr>
                <w:b w:val="0"/>
                <w:sz w:val="19"/>
              </w:rPr>
              <w:t>~5 GB</w:t>
            </w:r>
          </w:p>
        </w:tc>
        <w:tc>
          <w:tcPr>
            <w:tcW w:type="dxa" w:w="1296"/>
          </w:tcPr>
          <w:p>
            <w:r/>
            <w:r>
              <w:rPr>
                <w:b w:val="0"/>
                <w:sz w:val="19"/>
              </w:rPr>
              <w:t>Yes</w:t>
            </w:r>
          </w:p>
        </w:tc>
        <w:tc>
          <w:tcPr>
            <w:tcW w:type="dxa" w:w="1584"/>
          </w:tcPr>
          <w:p>
            <w:r/>
            <w:r>
              <w:rPr>
                <w:b w:val="0"/>
                <w:sz w:val="19"/>
              </w:rPr>
              <w:t>5–9 tok/s</w:t>
            </w:r>
          </w:p>
        </w:tc>
        <w:tc>
          <w:tcPr>
            <w:tcW w:type="dxa" w:w="3168"/>
          </w:tcPr>
          <w:p>
            <w:r/>
            <w:r>
              <w:rPr>
                <w:b w:val="0"/>
                <w:sz w:val="19"/>
              </w:rPr>
              <w:t>Fast secondary arm</w:t>
            </w:r>
          </w:p>
        </w:tc>
      </w:tr>
      <w:tr>
        <w:tc>
          <w:tcPr>
            <w:tcW w:type="dxa" w:w="2448"/>
          </w:tcPr>
          <w:p>
            <w:r/>
            <w:r>
              <w:rPr>
                <w:b w:val="0"/>
                <w:sz w:val="19"/>
              </w:rPr>
              <w:t>gpt-oss-120b (MoE)</w:t>
            </w:r>
          </w:p>
        </w:tc>
        <w:tc>
          <w:tcPr>
            <w:tcW w:type="dxa" w:w="1296"/>
          </w:tcPr>
          <w:p>
            <w:r/>
            <w:r>
              <w:rPr>
                <w:b w:val="0"/>
                <w:sz w:val="19"/>
              </w:rPr>
              <w:t>~63 GB</w:t>
            </w:r>
          </w:p>
        </w:tc>
        <w:tc>
          <w:tcPr>
            <w:tcW w:type="dxa" w:w="1296"/>
          </w:tcPr>
          <w:p>
            <w:r/>
            <w:r>
              <w:rPr>
                <w:b w:val="0"/>
                <w:sz w:val="19"/>
              </w:rPr>
              <w:t>Tight</w:t>
            </w:r>
          </w:p>
        </w:tc>
        <w:tc>
          <w:tcPr>
            <w:tcW w:type="dxa" w:w="1584"/>
          </w:tcPr>
          <w:p>
            <w:r/>
            <w:r>
              <w:rPr>
                <w:b w:val="0"/>
                <w:sz w:val="19"/>
              </w:rPr>
              <w:t>3–6 tok/s</w:t>
            </w:r>
          </w:p>
        </w:tc>
        <w:tc>
          <w:tcPr>
            <w:tcW w:type="dxa" w:w="3168"/>
          </w:tcPr>
          <w:p>
            <w:r/>
            <w:r>
              <w:rPr>
                <w:b w:val="0"/>
                <w:sz w:val="19"/>
              </w:rPr>
              <w:t>Optional subset check</w:t>
            </w:r>
          </w:p>
        </w:tc>
      </w:tr>
      <w:tr>
        <w:tc>
          <w:tcPr>
            <w:tcW w:type="dxa" w:w="2448"/>
          </w:tcPr>
          <w:p>
            <w:r/>
            <w:r>
              <w:rPr>
                <w:b w:val="0"/>
                <w:sz w:val="19"/>
              </w:rPr>
              <w:t>Any 70B dense model</w:t>
            </w:r>
          </w:p>
        </w:tc>
        <w:tc>
          <w:tcPr>
            <w:tcW w:type="dxa" w:w="1296"/>
          </w:tcPr>
          <w:p>
            <w:r/>
            <w:r>
              <w:rPr>
                <w:b w:val="0"/>
                <w:sz w:val="19"/>
              </w:rPr>
              <w:t>~40 GB</w:t>
            </w:r>
          </w:p>
        </w:tc>
        <w:tc>
          <w:tcPr>
            <w:tcW w:type="dxa" w:w="1296"/>
          </w:tcPr>
          <w:p>
            <w:r/>
            <w:r>
              <w:rPr>
                <w:b w:val="0"/>
                <w:sz w:val="19"/>
              </w:rPr>
              <w:t>Yes</w:t>
            </w:r>
          </w:p>
        </w:tc>
        <w:tc>
          <w:tcPr>
            <w:tcW w:type="dxa" w:w="1584"/>
          </w:tcPr>
          <w:p>
            <w:r/>
            <w:r>
              <w:rPr>
                <w:b w:val="0"/>
                <w:sz w:val="19"/>
              </w:rPr>
              <w:t>1–2 tok/s</w:t>
            </w:r>
          </w:p>
        </w:tc>
        <w:tc>
          <w:tcPr>
            <w:tcW w:type="dxa" w:w="3168"/>
          </w:tcPr>
          <w:p>
            <w:r/>
            <w:r>
              <w:rPr>
                <w:b/>
                <w:sz w:val="19"/>
              </w:rPr>
              <w:t>Unusable — do not attempt</w:t>
            </w:r>
          </w:p>
        </w:tc>
      </w:tr>
    </w:tbl>
    <w:p>
      <w:pPr>
        <w:spacing w:after="80"/>
      </w:pPr>
    </w:p>
    <w:p>
      <w:pPr>
        <w:spacing w:after="160"/>
      </w:pPr>
      <w:r>
        <w:rPr>
          <w:b/>
          <w:i/>
          <w:sz w:val="19"/>
        </w:rPr>
        <w:t>These speeds are estimates. They must be benchmarked in Phase 1 before the schedule depends on them.</w:t>
      </w:r>
    </w:p>
    <w:p>
      <w:pPr>
        <w:pStyle w:val="Heading2"/>
      </w:pPr>
      <w:r>
        <w:t>3.4 Time budget, and how to cut it</w:t>
      </w:r>
    </w:p>
    <w:p>
      <w:pPr>
        <w:spacing w:after="80"/>
      </w:pPr>
      <w:r>
        <w:rPr>
          <w:b w:val="0"/>
          <w:i w:val="0"/>
        </w:rPr>
        <w:t>About 5,500 generations are needed in total. At roughly 95 seconds each that is around 145 hours — six days of continuous compute, with no slack for reruns. Three fixes, apply all of them:</w:t>
      </w:r>
    </w:p>
    <w:p>
      <w:pPr>
        <w:pStyle w:val="ListNumber"/>
        <w:spacing w:after="60"/>
      </w:pPr>
      <w:r>
        <w:rPr>
          <w:b/>
        </w:rPr>
        <w:t xml:space="preserve">Reuse the prompt cache. </w:t>
      </w:r>
      <w:r>
        <w:t>Arms A1–A6 share the same retrieved context for a given question, so the expensive prompt-processing step can be reused across arms rather than repeated.</w:t>
      </w:r>
    </w:p>
    <w:p>
      <w:pPr>
        <w:pStyle w:val="ListNumber"/>
        <w:spacing w:after="60"/>
      </w:pPr>
      <w:r>
        <w:rPr>
          <w:b/>
        </w:rPr>
        <w:t xml:space="preserve">Seed asymmetrically. </w:t>
      </w:r>
      <w:r>
        <w:t>Three seeds only for the headline arms, one for the intermediate arms. That cuts 21 runs per question to 13 — roughly 2,600 generations, under three days.</w:t>
      </w:r>
    </w:p>
    <w:p>
      <w:pPr>
        <w:pStyle w:val="ListNumber"/>
        <w:spacing w:after="60"/>
      </w:pPr>
      <w:r>
        <w:rPr>
          <w:b/>
        </w:rPr>
        <w:t xml:space="preserve">Split by provider. </w:t>
      </w:r>
      <w:r>
        <w:t>Bulk on the Groq free tier, determinism-critical subset locally.</w:t>
      </w:r>
    </w:p>
    <w:p>
      <w:pPr>
        <w:pStyle w:val="Heading2"/>
      </w:pPr>
      <w:r>
        <w:t>3.5 Removing every remaining paid dependency</w:t>
      </w:r>
    </w:p>
    <w:tbl>
      <w:tblPr>
        <w:tblStyle w:val="LightGrid-Accent1"/>
        <w:tblW w:type="auto" w:w="0"/>
        <w:jc w:val="center"/>
        <w:tblLook w:firstColumn="1" w:firstRow="1" w:lastColumn="0" w:lastRow="0" w:noHBand="0" w:noVBand="1" w:val="04A0"/>
      </w:tblPr>
      <w:tblGrid>
        <w:gridCol w:w="4896"/>
        <w:gridCol w:w="4896"/>
      </w:tblGrid>
      <w:tr>
        <w:tc>
          <w:tcPr>
            <w:tcW w:type="dxa" w:w="3888"/>
          </w:tcPr>
          <w:p>
            <w:r/>
            <w:r>
              <w:rPr>
                <w:b/>
                <w:sz w:val="19"/>
              </w:rPr>
              <w:t>What you pay for now</w:t>
            </w:r>
          </w:p>
        </w:tc>
        <w:tc>
          <w:tcPr>
            <w:tcW w:type="dxa" w:w="5904"/>
          </w:tcPr>
          <w:p>
            <w:r/>
            <w:r>
              <w:rPr>
                <w:b/>
                <w:sz w:val="19"/>
              </w:rPr>
              <w:t>Free replacement</w:t>
            </w:r>
          </w:p>
        </w:tc>
      </w:tr>
      <w:tr>
        <w:tc>
          <w:tcPr>
            <w:tcW w:type="dxa" w:w="3888"/>
          </w:tcPr>
          <w:p>
            <w:r/>
            <w:r>
              <w:rPr>
                <w:b w:val="0"/>
                <w:sz w:val="19"/>
              </w:rPr>
              <w:t>Generation (Groq llama-3.3-70b — dead)</w:t>
            </w:r>
          </w:p>
        </w:tc>
        <w:tc>
          <w:tcPr>
            <w:tcW w:type="dxa" w:w="5904"/>
          </w:tcPr>
          <w:p>
            <w:r/>
            <w:r>
              <w:rPr>
                <w:b w:val="0"/>
                <w:sz w:val="19"/>
              </w:rPr>
              <w:t>Groq free gpt-oss-20b **plus the same weights locally</w:t>
            </w:r>
          </w:p>
        </w:tc>
      </w:tr>
      <w:tr>
        <w:tc>
          <w:tcPr>
            <w:tcW w:type="dxa" w:w="3888"/>
          </w:tcPr>
          <w:p>
            <w:r/>
            <w:r>
              <w:rPr>
                <w:b w:val="0"/>
                <w:sz w:val="19"/>
              </w:rPr>
              <w:t>Reranking (Cohere rerank-v3.5, trial rate limits)</w:t>
            </w:r>
          </w:p>
        </w:tc>
        <w:tc>
          <w:tcPr>
            <w:tcW w:type="dxa" w:w="5904"/>
          </w:tcPr>
          <w:p>
            <w:r/>
            <w:r>
              <w:rPr>
                <w:b w:val="0"/>
                <w:sz w:val="19"/>
              </w:rPr>
              <w:t>BAAI/bge-reranker-v2-m3 cross-encoder, runs on CPU</w:t>
            </w:r>
          </w:p>
        </w:tc>
      </w:tr>
      <w:tr>
        <w:tc>
          <w:tcPr>
            <w:tcW w:type="dxa" w:w="3888"/>
          </w:tcPr>
          <w:p>
            <w:r/>
            <w:r>
              <w:rPr>
                <w:b w:val="0"/>
                <w:sz w:val="19"/>
              </w:rPr>
              <w:t>Embeddings (Cohere embed-english-v3.0)</w:t>
            </w:r>
          </w:p>
        </w:tc>
        <w:tc>
          <w:tcPr>
            <w:tcW w:type="dxa" w:w="5904"/>
          </w:tcPr>
          <w:p>
            <w:r/>
            <w:r>
              <w:rPr>
                <w:b w:val="0"/>
                <w:sz w:val="19"/>
              </w:rPr>
              <w:t>Already computed and stored in Supabase — do not change the embedder.** Switching would force re-embedding all 3,816 chunks and invalidate your frozen corpus.</w:t>
            </w:r>
          </w:p>
        </w:tc>
      </w:tr>
      <w:tr>
        <w:tc>
          <w:tcPr>
            <w:tcW w:type="dxa" w:w="3888"/>
          </w:tcPr>
          <w:p>
            <w:r/>
            <w:r>
              <w:rPr>
                <w:b w:val="0"/>
                <w:sz w:val="19"/>
              </w:rPr>
              <w:t>NLI guardrail</w:t>
            </w:r>
          </w:p>
        </w:tc>
        <w:tc>
          <w:tcPr>
            <w:tcW w:type="dxa" w:w="5904"/>
          </w:tcPr>
          <w:p>
            <w:r/>
            <w:r>
              <w:rPr>
                <w:b w:val="0"/>
                <w:sz w:val="19"/>
              </w:rPr>
              <w:t>Already local and small</w:t>
            </w:r>
          </w:p>
        </w:tc>
      </w:tr>
      <w:tr>
        <w:tc>
          <w:tcPr>
            <w:tcW w:type="dxa" w:w="3888"/>
          </w:tcPr>
          <w:p>
            <w:r/>
            <w:r>
              <w:rPr>
                <w:b w:val="0"/>
                <w:sz w:val="19"/>
              </w:rPr>
              <w:t>Independent judge (new requirement)</w:t>
            </w:r>
          </w:p>
        </w:tc>
        <w:tc>
          <w:tcPr>
            <w:tcW w:type="dxa" w:w="5904"/>
          </w:tcPr>
          <w:p>
            <w:r/>
            <w:r>
              <w:rPr>
                <w:b w:val="0"/>
                <w:sz w:val="19"/>
              </w:rPr>
              <w:t>MiniCheck or AlignScore — both run locally on CPU</w:t>
            </w:r>
          </w:p>
        </w:tc>
      </w:tr>
    </w:tbl>
    <w:p>
      <w:pPr>
        <w:spacing w:after="80"/>
      </w:pPr>
    </w:p>
    <w:p>
      <w:pPr>
        <w:spacing w:after="80"/>
      </w:pPr>
      <w:r>
        <w:rPr>
          <w:b w:val="0"/>
          <w:i w:val="0"/>
        </w:rPr>
        <w:t>Register these as backups but do not depend on any single one: Google AI Studio (Gemini) free tier, GitHub Models, Cerebras Cloud free tier, OpenRouter free model variants, HuggingFace Inference Providers credits, Mistral's free tier.</w:t>
      </w:r>
    </w:p>
    <w:p>
      <w:r>
        <w:br w:type="page"/>
      </w:r>
    </w:p>
    <w:p>
      <w:pPr>
        <w:pStyle w:val="Heading1"/>
      </w:pPr>
      <w:r>
        <w:t>4. The 18-week plan</w:t>
      </w:r>
    </w:p>
    <w:p>
      <w:pPr>
        <w:pStyle w:val="Heading2"/>
      </w:pPr>
      <w:r>
        <w:t>Phase 0 — Secure, freeze, instrument (Week 1)</w:t>
      </w:r>
    </w:p>
    <w:p>
      <w:pPr>
        <w:spacing w:after="40"/>
        <w:ind w:left="173"/>
        <w:shd w:val="clear" w:fill="FDECEC"/>
      </w:pPr>
      <w:r>
        <w:rPr>
          <w:b/>
          <w:sz w:val="21"/>
        </w:rPr>
        <w:t>Do this before anything else</w:t>
      </w:r>
    </w:p>
    <w:p>
      <w:pPr>
        <w:spacing w:after="200"/>
        <w:ind w:left="173"/>
        <w:shd w:val="clear" w:fill="FDECEC"/>
      </w:pPr>
      <w:r>
        <w:rPr>
          <w:sz w:val="20"/>
        </w:rPr>
        <w:t>Back up the corpus today. Export all 1,009 documents and 3,816 chunks — including the embedding vectors — to local disk, with a checksum, plus a second copy off this machine. Commit the 224 recovered manifest URLs in the same commit.</w:t>
        <w:br/>
        <w:br/>
        <w:t>That Supabase project disappeared once already and came back. Until this export exists, every remaining week of this plan is sitting on a single point of failure.</w:t>
      </w:r>
    </w:p>
    <w:p>
      <w:pPr>
        <w:pStyle w:val="ListBullet"/>
        <w:spacing w:after="60"/>
      </w:pPr>
      <w:r>
        <w:rPr>
          <w:b/>
        </w:rPr>
        <w:t xml:space="preserve">Freeze and record. </w:t>
      </w:r>
      <w:r>
        <w:t>Write eval/corpus_manifest.json recording document and chunk counts and the full source breakdown. Tag the repository paper-v1. Every number in the paper comes from this tag or later.</w:t>
      </w:r>
    </w:p>
    <w:p>
      <w:pPr>
        <w:pStyle w:val="ListBullet"/>
        <w:spacing w:after="60"/>
      </w:pPr>
      <w:r>
        <w:rPr>
          <w:b/>
        </w:rPr>
        <w:t xml:space="preserve">Re-run the real gradability audit </w:t>
      </w:r>
      <w:r>
        <w:t>against the live corpus, to get the citable figure rather than my approximation.</w:t>
      </w:r>
    </w:p>
    <w:p>
      <w:pPr>
        <w:pStyle w:val="ListBullet"/>
        <w:spacing w:after="60"/>
      </w:pPr>
      <w:r>
        <w:rPr>
          <w:b/>
        </w:rPr>
        <w:t xml:space="preserve">Record, then fix, the scope-guard hole (F4). </w:t>
      </w:r>
      <w:r>
        <w:t>First freeze the broken behaviour as evidence with the commit SHA. Then fix it. Then re-run the coverage scorer to measure what the fix costs on the access axis — that cost is itself a data point on your central figure. Get CI green (58/58).</w:t>
      </w:r>
    </w:p>
    <w:p>
      <w:pPr>
        <w:pStyle w:val="ListBullet"/>
        <w:spacing w:after="60"/>
      </w:pPr>
      <w:r>
        <w:rPr>
          <w:b/>
        </w:rPr>
        <w:t xml:space="preserve">Make runs reproducible. </w:t>
      </w:r>
      <w:r>
        <w:t>Add an EVAL_DETERMINISTIC switch forcing temperature 0 and a fixed seed for evaluation, while production stays at 0.15. Add seed controls to the three main scorers and report mean with 95% confidence intervals. Add a run_manifest block to every result file recording git SHA, model IDs and weight hashes, backend, every threshold, and corpus counts. Archive the pre-paper-v1 baselines as uncitable. Rotate the five exposed keys.</w:t>
      </w:r>
    </w:p>
    <w:p>
      <w:pPr>
        <w:pStyle w:val="Heading2"/>
      </w:pPr>
      <w:r>
        <w:t>Phase 1 — Stand up the free stack (Week 2)</w:t>
      </w:r>
    </w:p>
    <w:p>
      <w:pPr>
        <w:pStyle w:val="ListBullet"/>
        <w:spacing w:after="60"/>
      </w:pPr>
      <w:r>
        <w:t>Install Ollama or llama.cpp, pull gpt-oss-20b, record the weight hash.</w:t>
      </w:r>
    </w:p>
    <w:p>
      <w:pPr>
        <w:pStyle w:val="ListBullet"/>
        <w:spacing w:after="60"/>
      </w:pPr>
      <w:r>
        <w:t>Add an LLM_BACKEND switch (groq / local / cohere) to app/RAG.py — the Groq SDK accepts a base_url, so this is a config change, not a rewrite.</w:t>
      </w:r>
    </w:p>
    <w:p>
      <w:pPr>
        <w:pStyle w:val="ListBullet"/>
        <w:spacing w:after="60"/>
      </w:pPr>
      <w:r>
        <w:t>Benchmark real throughput before committing the schedule to it. If local speed comes in under about 5 tokens/second, demote local to the determinism subset and move bulk generation to free cloud tiers. The plan survives either outcome.</w:t>
      </w:r>
    </w:p>
    <w:p>
      <w:pPr>
        <w:pStyle w:val="ListBullet"/>
        <w:spacing w:after="60"/>
      </w:pPr>
      <w:r>
        <w:t>Swap Cohere rerank for bge-reranker-v2-m3 and verify retrieval quality does not regress on a held-out sample before adopting it.</w:t>
      </w:r>
    </w:p>
    <w:p>
      <w:pPr>
        <w:pStyle w:val="ListBullet"/>
        <w:spacing w:after="60"/>
      </w:pPr>
      <w:r>
        <w:t>Validate that local and Groq agree on 50 shared prompts at temperature 0, and report that agreement rate in the paper's reproducibility section.</w:t>
      </w:r>
    </w:p>
    <w:p>
      <w:pPr>
        <w:pStyle w:val="Heading2"/>
      </w:pPr>
      <w:r>
        <w:t>Phase 2 — Question set and runner (Weeks 3–4)</w:t>
      </w:r>
    </w:p>
    <w:p>
      <w:pPr>
        <w:spacing w:after="80"/>
      </w:pPr>
      <w:r>
        <w:rPr>
          <w:b w:val="0"/>
          <w:i w:val="0"/>
        </w:rPr>
        <w:t>Build a stratified set of 200 questions:</w:t>
      </w:r>
    </w:p>
    <w:tbl>
      <w:tblPr>
        <w:tblStyle w:val="LightGrid-Accent1"/>
        <w:tblW w:type="auto" w:w="0"/>
        <w:jc w:val="center"/>
        <w:tblLook w:firstColumn="1" w:firstRow="1" w:lastColumn="0" w:lastRow="0" w:noHBand="0" w:noVBand="1" w:val="04A0"/>
      </w:tblPr>
      <w:tblGrid>
        <w:gridCol w:w="3264"/>
        <w:gridCol w:w="3264"/>
        <w:gridCol w:w="3264"/>
      </w:tblGrid>
      <w:tr>
        <w:tc>
          <w:tcPr>
            <w:tcW w:type="dxa" w:w="3168"/>
          </w:tcPr>
          <w:p>
            <w:r/>
            <w:r>
              <w:rPr>
                <w:b/>
                <w:sz w:val="19"/>
              </w:rPr>
              <w:t>Stratum</w:t>
            </w:r>
          </w:p>
        </w:tc>
        <w:tc>
          <w:tcPr>
            <w:tcW w:type="dxa" w:w="1008"/>
          </w:tcPr>
          <w:p>
            <w:r/>
            <w:r>
              <w:rPr>
                <w:b/>
                <w:sz w:val="19"/>
              </w:rPr>
              <w:t>n</w:t>
            </w:r>
          </w:p>
        </w:tc>
        <w:tc>
          <w:tcPr>
            <w:tcW w:type="dxa" w:w="5616"/>
          </w:tcPr>
          <w:p>
            <w:r/>
            <w:r>
              <w:rPr>
                <w:b/>
                <w:sz w:val="19"/>
              </w:rPr>
              <w:t>Source</w:t>
            </w:r>
          </w:p>
        </w:tc>
      </w:tr>
      <w:tr>
        <w:tc>
          <w:tcPr>
            <w:tcW w:type="dxa" w:w="3168"/>
          </w:tcPr>
          <w:p>
            <w:r/>
            <w:r>
              <w:rPr>
                <w:b w:val="0"/>
                <w:sz w:val="19"/>
              </w:rPr>
              <w:t>Consumer symptom</w:t>
            </w:r>
          </w:p>
        </w:tc>
        <w:tc>
          <w:tcPr>
            <w:tcW w:type="dxa" w:w="1008"/>
          </w:tcPr>
          <w:p>
            <w:r/>
            <w:r>
              <w:rPr>
                <w:b w:val="0"/>
                <w:sz w:val="19"/>
              </w:rPr>
              <w:t>40</w:t>
            </w:r>
          </w:p>
        </w:tc>
        <w:tc>
          <w:tcPr>
            <w:tcW w:type="dxa" w:w="5616"/>
          </w:tcPr>
          <w:p>
            <w:r/>
            <w:r>
              <w:rPr>
                <w:b w:val="0"/>
                <w:sz w:val="19"/>
              </w:rPr>
              <w:t>coverage.jsonl + K-QA subset</w:t>
            </w:r>
          </w:p>
        </w:tc>
      </w:tr>
      <w:tr>
        <w:tc>
          <w:tcPr>
            <w:tcW w:type="dxa" w:w="3168"/>
          </w:tcPr>
          <w:p>
            <w:r/>
            <w:r>
              <w:rPr>
                <w:b w:val="0"/>
                <w:sz w:val="19"/>
              </w:rPr>
              <w:t>Condition education</w:t>
            </w:r>
          </w:p>
        </w:tc>
        <w:tc>
          <w:tcPr>
            <w:tcW w:type="dxa" w:w="1008"/>
          </w:tcPr>
          <w:p>
            <w:r/>
            <w:r>
              <w:rPr>
                <w:b w:val="0"/>
                <w:sz w:val="19"/>
              </w:rPr>
              <w:t>40</w:t>
            </w:r>
          </w:p>
        </w:tc>
        <w:tc>
          <w:tcPr>
            <w:tcW w:type="dxa" w:w="5616"/>
          </w:tcPr>
          <w:p>
            <w:r/>
            <w:r>
              <w:rPr>
                <w:b w:val="0"/>
                <w:sz w:val="19"/>
              </w:rPr>
              <w:t>condition.jsonl</w:t>
            </w:r>
          </w:p>
        </w:tc>
      </w:tr>
      <w:tr>
        <w:tc>
          <w:tcPr>
            <w:tcW w:type="dxa" w:w="3168"/>
          </w:tcPr>
          <w:p>
            <w:r/>
            <w:r>
              <w:rPr>
                <w:b w:val="0"/>
                <w:sz w:val="19"/>
              </w:rPr>
              <w:t>Lab explainer</w:t>
            </w:r>
          </w:p>
        </w:tc>
        <w:tc>
          <w:tcPr>
            <w:tcW w:type="dxa" w:w="1008"/>
          </w:tcPr>
          <w:p>
            <w:r/>
            <w:r>
              <w:rPr>
                <w:b w:val="0"/>
                <w:sz w:val="19"/>
              </w:rPr>
              <w:t>25</w:t>
            </w:r>
          </w:p>
        </w:tc>
        <w:tc>
          <w:tcPr>
            <w:tcW w:type="dxa" w:w="5616"/>
          </w:tcPr>
          <w:p>
            <w:r/>
            <w:r>
              <w:rPr>
                <w:b w:val="0"/>
                <w:sz w:val="19"/>
              </w:rPr>
              <w:t>results.jsonl</w:t>
            </w:r>
          </w:p>
        </w:tc>
      </w:tr>
      <w:tr>
        <w:tc>
          <w:tcPr>
            <w:tcW w:type="dxa" w:w="3168"/>
          </w:tcPr>
          <w:p>
            <w:r/>
            <w:r>
              <w:rPr>
                <w:b w:val="0"/>
                <w:sz w:val="19"/>
              </w:rPr>
              <w:t>Nepal care navigation</w:t>
            </w:r>
          </w:p>
        </w:tc>
        <w:tc>
          <w:tcPr>
            <w:tcW w:type="dxa" w:w="1008"/>
          </w:tcPr>
          <w:p>
            <w:r/>
            <w:r>
              <w:rPr>
                <w:b w:val="0"/>
                <w:sz w:val="19"/>
              </w:rPr>
              <w:t>30</w:t>
            </w:r>
          </w:p>
        </w:tc>
        <w:tc>
          <w:tcPr>
            <w:tcW w:type="dxa" w:w="5616"/>
          </w:tcPr>
          <w:p>
            <w:r/>
            <w:r>
              <w:rPr>
                <w:b w:val="0"/>
                <w:sz w:val="19"/>
              </w:rPr>
              <w:t>navigation_stage2.jsonl</w:t>
            </w:r>
          </w:p>
        </w:tc>
      </w:tr>
      <w:tr>
        <w:tc>
          <w:tcPr>
            <w:tcW w:type="dxa" w:w="3168"/>
          </w:tcPr>
          <w:p>
            <w:r/>
            <w:r>
              <w:rPr>
                <w:b w:val="0"/>
                <w:sz w:val="19"/>
              </w:rPr>
              <w:t>Adversarial (must-refuse)</w:t>
            </w:r>
          </w:p>
        </w:tc>
        <w:tc>
          <w:tcPr>
            <w:tcW w:type="dxa" w:w="1008"/>
          </w:tcPr>
          <w:p>
            <w:r/>
            <w:r>
              <w:rPr>
                <w:b w:val="0"/>
                <w:sz w:val="19"/>
              </w:rPr>
              <w:t>45</w:t>
            </w:r>
          </w:p>
        </w:tc>
        <w:tc>
          <w:tcPr>
            <w:tcW w:type="dxa" w:w="5616"/>
          </w:tcPr>
          <w:p>
            <w:r/>
            <w:r>
              <w:rPr>
                <w:b w:val="0"/>
                <w:sz w:val="19"/>
              </w:rPr>
              <w:t>must_refuse.jsonl, expanded</w:t>
            </w:r>
          </w:p>
        </w:tc>
      </w:tr>
      <w:tr>
        <w:tc>
          <w:tcPr>
            <w:tcW w:type="dxa" w:w="3168"/>
          </w:tcPr>
          <w:p>
            <w:r/>
            <w:r>
              <w:rPr>
                <w:b w:val="0"/>
                <w:sz w:val="19"/>
              </w:rPr>
              <w:t>Emergency red-flag</w:t>
            </w:r>
          </w:p>
        </w:tc>
        <w:tc>
          <w:tcPr>
            <w:tcW w:type="dxa" w:w="1008"/>
          </w:tcPr>
          <w:p>
            <w:r/>
            <w:r>
              <w:rPr>
                <w:b w:val="0"/>
                <w:sz w:val="19"/>
              </w:rPr>
              <w:t>20</w:t>
            </w:r>
          </w:p>
        </w:tc>
        <w:tc>
          <w:tcPr>
            <w:tcW w:type="dxa" w:w="5616"/>
          </w:tcPr>
          <w:p>
            <w:r/>
            <w:r>
              <w:rPr>
                <w:b w:val="0"/>
                <w:sz w:val="19"/>
              </w:rPr>
              <w:t>redflag.jsonl positives</w:t>
            </w:r>
          </w:p>
        </w:tc>
      </w:tr>
    </w:tbl>
    <w:p>
      <w:pPr>
        <w:spacing w:after="80"/>
      </w:pPr>
    </w:p>
    <w:p>
      <w:pPr>
        <w:spacing w:after="120"/>
      </w:pPr>
      <w:r>
        <w:rPr>
          <w:b w:val="0"/>
          <w:i w:val="0"/>
        </w:rPr>
        <w:t>Anchor the external portion in K-QA (Manes et al. 2024) — 1,212 real patient questions with clinician-written must-have and nice-to-have statements. It measures hallucination and comprehensiveness together, which feeds your frontier framing directly.</w:t>
      </w:r>
    </w:p>
    <w:p>
      <w:pPr>
        <w:spacing w:after="120"/>
      </w:pPr>
      <w:r>
        <w:rPr>
          <w:b/>
          <w:i w:val="0"/>
        </w:rPr>
        <w:t xml:space="preserve">Build the runner to retrieve once per question and reuse the identical context across every arm. </w:t>
      </w:r>
      <w:r>
        <w:rPr>
          <w:b w:val="0"/>
          <w:i w:val="0"/>
        </w:rPr>
        <w:t>That is what makes the comparison fair, and it removes the "your baseline was rigged" objection. Build checkpoint and resume in from day one — quota exhaustion has already truncated one of your experiments.</w:t>
      </w:r>
    </w:p>
    <w:p>
      <w:pPr>
        <w:pStyle w:val="Heading2"/>
      </w:pPr>
      <w:r>
        <w:t>Phase 3 — The evaluation that carries the paper (Weeks 5–9)</w:t>
      </w:r>
    </w:p>
    <w:p>
      <w:pPr>
        <w:spacing w:after="120"/>
      </w:pPr>
      <w:r>
        <w:rPr>
          <w:b/>
          <w:i w:val="0"/>
        </w:rPr>
        <w:t>This is the bottleneck. Budget most of your effort here.</w:t>
      </w:r>
    </w:p>
    <w:p>
      <w:pPr>
        <w:pStyle w:val="Heading3"/>
      </w:pPr>
      <w:r>
        <w:t>3.1  The ablation ladder</w:t>
      </w:r>
    </w:p>
    <w:tbl>
      <w:tblPr>
        <w:tblStyle w:val="LightGrid-Accent1"/>
        <w:tblW w:type="auto" w:w="0"/>
        <w:jc w:val="center"/>
        <w:tblLook w:firstColumn="1" w:firstRow="1" w:lastColumn="0" w:lastRow="0" w:noHBand="0" w:noVBand="1" w:val="04A0"/>
      </w:tblPr>
      <w:tblGrid>
        <w:gridCol w:w="4896"/>
        <w:gridCol w:w="4896"/>
      </w:tblGrid>
      <w:tr>
        <w:tc>
          <w:tcPr>
            <w:tcW w:type="dxa" w:w="1008"/>
          </w:tcPr>
          <w:p>
            <w:r/>
            <w:r>
              <w:rPr>
                <w:b/>
                <w:sz w:val="19"/>
              </w:rPr>
              <w:t>Arm</w:t>
            </w:r>
          </w:p>
        </w:tc>
        <w:tc>
          <w:tcPr>
            <w:tcW w:type="dxa" w:w="8784"/>
          </w:tcPr>
          <w:p>
            <w:r/>
            <w:r>
              <w:rPr>
                <w:b/>
                <w:sz w:val="19"/>
              </w:rPr>
              <w:t>What it adds</w:t>
            </w:r>
          </w:p>
        </w:tc>
      </w:tr>
      <w:tr>
        <w:tc>
          <w:tcPr>
            <w:tcW w:type="dxa" w:w="1008"/>
          </w:tcPr>
          <w:p>
            <w:r/>
            <w:r>
              <w:rPr>
                <w:b w:val="0"/>
                <w:sz w:val="19"/>
              </w:rPr>
              <w:t>A0</w:t>
            </w:r>
          </w:p>
        </w:tc>
        <w:tc>
          <w:tcPr>
            <w:tcW w:type="dxa" w:w="8784"/>
          </w:tcPr>
          <w:p>
            <w:r/>
            <w:r>
              <w:rPr>
                <w:b w:val="0"/>
                <w:sz w:val="19"/>
              </w:rPr>
              <w:t>LLM only, no retrieval — the upper bound on hallucination</w:t>
            </w:r>
          </w:p>
        </w:tc>
      </w:tr>
      <w:tr>
        <w:tc>
          <w:tcPr>
            <w:tcW w:type="dxa" w:w="1008"/>
          </w:tcPr>
          <w:p>
            <w:r/>
            <w:r>
              <w:rPr>
                <w:b w:val="0"/>
                <w:sz w:val="19"/>
              </w:rPr>
              <w:t>A1</w:t>
            </w:r>
          </w:p>
        </w:tc>
        <w:tc>
          <w:tcPr>
            <w:tcW w:type="dxa" w:w="8784"/>
          </w:tcPr>
          <w:p>
            <w:r/>
            <w:r>
              <w:rPr>
                <w:b w:val="0"/>
                <w:sz w:val="19"/>
              </w:rPr>
              <w:t>Naive RAG: dense only, no rerank, no gate, no guardrail</w:t>
            </w:r>
          </w:p>
        </w:tc>
      </w:tr>
      <w:tr>
        <w:tc>
          <w:tcPr>
            <w:tcW w:type="dxa" w:w="1008"/>
          </w:tcPr>
          <w:p>
            <w:r/>
            <w:r>
              <w:rPr>
                <w:b w:val="0"/>
                <w:sz w:val="19"/>
              </w:rPr>
              <w:t>A2</w:t>
            </w:r>
          </w:p>
        </w:tc>
        <w:tc>
          <w:tcPr>
            <w:tcW w:type="dxa" w:w="8784"/>
          </w:tcPr>
          <w:p>
            <w:r/>
            <w:r>
              <w:rPr>
                <w:b w:val="0"/>
                <w:sz w:val="19"/>
              </w:rPr>
              <w:t>+ hybrid retrieval (dense + BM25 + RRF) and reranking</w:t>
            </w:r>
          </w:p>
        </w:tc>
      </w:tr>
      <w:tr>
        <w:tc>
          <w:tcPr>
            <w:tcW w:type="dxa" w:w="1008"/>
          </w:tcPr>
          <w:p>
            <w:r/>
            <w:r>
              <w:rPr>
                <w:b w:val="0"/>
                <w:sz w:val="19"/>
              </w:rPr>
              <w:t>A3</w:t>
            </w:r>
          </w:p>
        </w:tc>
        <w:tc>
          <w:tcPr>
            <w:tcW w:type="dxa" w:w="8784"/>
          </w:tcPr>
          <w:p>
            <w:r/>
            <w:r>
              <w:rPr>
                <w:b w:val="0"/>
                <w:sz w:val="19"/>
              </w:rPr>
              <w:t>+ abstention gate</w:t>
            </w:r>
          </w:p>
        </w:tc>
      </w:tr>
      <w:tr>
        <w:tc>
          <w:tcPr>
            <w:tcW w:type="dxa" w:w="1008"/>
          </w:tcPr>
          <w:p>
            <w:r/>
            <w:r>
              <w:rPr>
                <w:b w:val="0"/>
                <w:sz w:val="19"/>
              </w:rPr>
              <w:t>A4</w:t>
            </w:r>
          </w:p>
        </w:tc>
        <w:tc>
          <w:tcPr>
            <w:tcW w:type="dxa" w:w="8784"/>
          </w:tcPr>
          <w:p>
            <w:r/>
            <w:r>
              <w:rPr>
                <w:b w:val="0"/>
                <w:sz w:val="19"/>
              </w:rPr>
              <w:t>+ claim classifier and NLI verifier</w:t>
            </w:r>
          </w:p>
        </w:tc>
      </w:tr>
      <w:tr>
        <w:tc>
          <w:tcPr>
            <w:tcW w:type="dxa" w:w="1008"/>
          </w:tcPr>
          <w:p>
            <w:r/>
            <w:r>
              <w:rPr>
                <w:b w:val="0"/>
                <w:sz w:val="19"/>
              </w:rPr>
              <w:t>A5</w:t>
            </w:r>
          </w:p>
        </w:tc>
        <w:tc>
          <w:tcPr>
            <w:tcW w:type="dxa" w:w="8784"/>
          </w:tcPr>
          <w:p>
            <w:r/>
            <w:r>
              <w:rPr>
                <w:b w:val="0"/>
                <w:sz w:val="19"/>
              </w:rPr>
              <w:t>+ citation binding</w:t>
            </w:r>
          </w:p>
        </w:tc>
      </w:tr>
      <w:tr>
        <w:tc>
          <w:tcPr>
            <w:tcW w:type="dxa" w:w="1008"/>
          </w:tcPr>
          <w:p>
            <w:r/>
            <w:r>
              <w:rPr>
                <w:b w:val="0"/>
                <w:sz w:val="19"/>
              </w:rPr>
              <w:t>A6</w:t>
            </w:r>
          </w:p>
        </w:tc>
        <w:tc>
          <w:tcPr>
            <w:tcW w:type="dxa" w:w="8784"/>
          </w:tcPr>
          <w:p>
            <w:r/>
            <w:r>
              <w:rPr>
                <w:b w:val="0"/>
                <w:sz w:val="19"/>
              </w:rPr>
              <w:t>+ fusion-drift detection — the full system</w:t>
            </w:r>
          </w:p>
        </w:tc>
      </w:tr>
    </w:tbl>
    <w:p>
      <w:pPr>
        <w:spacing w:after="80"/>
      </w:pPr>
    </w:p>
    <w:p>
      <w:pPr>
        <w:pStyle w:val="Heading3"/>
      </w:pPr>
      <w:r>
        <w:t>3.2  Human ground truth on both axes — do not compromise here</w:t>
      </w:r>
    </w:p>
    <w:p>
      <w:pPr>
        <w:pStyle w:val="ListBullet"/>
        <w:spacing w:after="60"/>
      </w:pPr>
      <w:r>
        <w:rPr>
          <w:b/>
        </w:rPr>
        <w:t xml:space="preserve">Claim axis: </w:t>
      </w:r>
      <w:r>
        <w:t>400 sentences across arms A1, A4 and A6. For each, given the retrieved context: supported / unsupported / contradicted / not-a-claim, plus a harm rating of none, minor, or potentially harmful. A harm-weighted hallucination rate matters far more to a clinical venue than a raw count.</w:t>
      </w:r>
    </w:p>
    <w:p>
      <w:pPr>
        <w:pStyle w:val="ListBullet"/>
        <w:spacing w:after="60"/>
      </w:pPr>
      <w:r>
        <w:rPr>
          <w:b/>
        </w:rPr>
        <w:t xml:space="preserve">Access axis: </w:t>
      </w:r>
      <w:r>
        <w:t>every refusal the system makes across the 200 questions, roughly 150 of them. For each, given the question and the retrieved context: was the refusal warranted, unnecessary, or borderline? This is the novel part.</w:t>
      </w:r>
    </w:p>
    <w:p>
      <w:pPr>
        <w:pStyle w:val="ListBullet"/>
        <w:spacing w:after="60"/>
      </w:pPr>
      <w:r>
        <w:t>Two annotators, blind to which arm produced each item. Report Cohen's kappa on both label sets, with a third rater adjudicating disagreements. The annotation guideline ships as an appendix — reviewers ask for it.</w:t>
      </w:r>
    </w:p>
    <w:p>
      <w:pPr>
        <w:pStyle w:val="Heading3"/>
      </w:pPr>
      <w:r>
        <w:t>3.3  Kill the circular judge</w:t>
      </w:r>
    </w:p>
    <w:p>
      <w:pPr>
        <w:spacing w:after="120"/>
      </w:pPr>
      <w:r>
        <w:rPr>
          <w:b w:val="0"/>
          <w:i w:val="0"/>
        </w:rPr>
        <w:t>Add a judge that is not your guardrail model — MiniCheck (Tang et al. 2024) is purpose-built, small and runs locally on CPU; AlignScore is the alternative. Then report agreement across all three: your guardrail's NLI, the independent judge, and the human labels. This converts your NLI from "the metric" into "a validated proxy", which is a small contribution in its own right.</w:t>
      </w:r>
    </w:p>
    <w:p>
      <w:pPr>
        <w:pStyle w:val="Heading3"/>
      </w:pPr>
      <w:r>
        <w:t>3.4  Show it is not one model's quirk</w:t>
      </w:r>
    </w:p>
    <w:p>
      <w:pPr>
        <w:spacing w:after="120"/>
      </w:pPr>
      <w:r>
        <w:rPr>
          <w:b w:val="0"/>
          <w:i w:val="0"/>
        </w:rPr>
        <w:t>Replicate A1 versus A6 only, 200 questions, one seed, on a second model family (qwen3.8-27b on Groq, or qwen3-8b locally). About 400 extra generations for a generalization claim.</w:t>
      </w:r>
    </w:p>
    <w:p>
      <w:pPr>
        <w:pStyle w:val="Heading3"/>
      </w:pPr>
      <w:r>
        <w:t>3.5  The central figure</w:t>
      </w:r>
    </w:p>
    <w:p>
      <w:pPr>
        <w:spacing w:after="120"/>
      </w:pPr>
      <w:r>
        <w:rPr>
          <w:b w:val="0"/>
          <w:i w:val="0"/>
        </w:rPr>
        <w:t>Sweep your two key thresholds across a grid and plot harm-weighted hallucination rate against clinician-adjudicated answer rate. Mark your shipped operating point, and mark the before and after positions of the b13bd83 scope-guard relaxation as two points on the same curve. This single figure is the paper — it turns 54.5% over-refusal from an embarrassment into a stated design choice on a measured frontier.</w:t>
      </w:r>
    </w:p>
    <w:p>
      <w:pPr>
        <w:pStyle w:val="Heading2"/>
      </w:pPr>
      <w:r>
        <w:t>Phase 4 — The novel mechanisms (Weeks 10–11)</w:t>
      </w:r>
    </w:p>
    <w:p>
      <w:pPr>
        <w:pStyle w:val="ListBullet"/>
        <w:spacing w:after="60"/>
      </w:pPr>
      <w:r>
        <w:rPr>
          <w:b/>
        </w:rPr>
        <w:t xml:space="preserve">Streaming latency. </w:t>
      </w:r>
      <w:r>
        <w:t>Instrument /query/stream and report distributions, not averages: time-to-first-token, time-to-first-safe-sentence (your real UX metric), total latency, and per-sentence NLI overhead. Your code comment claims "1–2 seconds" — it has never been measured. Measure this on the Groq path, not locally, or CPU speed will confound the result.</w:t>
      </w:r>
    </w:p>
    <w:p>
      <w:pPr>
        <w:pStyle w:val="ListBullet"/>
        <w:spacing w:after="60"/>
      </w:pPr>
      <w:r>
        <w:rPr>
          <w:b/>
        </w:rPr>
        <w:t xml:space="preserve">Fusion-drift diagnostic. </w:t>
      </w:r>
      <w:r>
        <w:t>Build 80 controlled items: 40 compound claims where the conjunction is supported by a single chunk, and 40 where each half is supported by a different chunk but the conjunction is not. Have a clinician verify every label, then report precision, recall and F1. Without this, fusion drift is code, not a contribution.</w:t>
      </w:r>
    </w:p>
    <w:p>
      <w:pPr>
        <w:pStyle w:val="ListBullet"/>
        <w:spacing w:after="60"/>
      </w:pPr>
      <w:r>
        <w:rPr>
          <w:b/>
        </w:rPr>
        <w:t xml:space="preserve">Citation attribution. </w:t>
      </w:r>
      <w:r>
        <w:t>Measure citation precision, citation recall, and the mis-binding rate — sentences supported by some chunk but not by the one they cite. Mis-binding is exactly what citation binding exists to catch, so quantify how often it fires.</w:t>
      </w:r>
    </w:p>
    <w:p>
      <w:pPr>
        <w:pStyle w:val="Heading2"/>
      </w:pPr>
      <w:r>
        <w:t>Phase 5 — The triage layer, done properly (Weeks 12–13)</w:t>
      </w:r>
    </w:p>
    <w:p>
      <w:pPr>
        <w:spacing w:after="40"/>
        <w:ind w:left="173"/>
        <w:shd w:val="clear" w:fill="FFF4E5"/>
      </w:pPr>
      <w:r>
        <w:rPr>
          <w:b/>
          <w:sz w:val="21"/>
        </w:rPr>
        <w:t>Your perfect score is a liability, not an asset</w:t>
      </w:r>
    </w:p>
    <w:p>
      <w:pPr>
        <w:spacing w:after="200"/>
        <w:ind w:left="173"/>
        <w:shd w:val="clear" w:fill="FFF4E5"/>
      </w:pPr>
      <w:r>
        <w:rPr>
          <w:sz w:val="20"/>
        </w:rPr>
        <w:t>73/73 and 58/58 with zero false positives will read to a reviewer as overfitting — and they would be right. Your own log records gold cases being added to cover rules, and all 45 rules have at least one hand-written positive example. As it stands, this measures "the regular expressions match the strings I wrote for them", not clinical sensitivity.</w:t>
        <w:br/>
        <w:br/>
        <w:t>The fix: commission 120 held-out cases from a clinician who has never seen redflag_rules.yaml — 60 positives and 60 hard negatives (deliberate near-misses). Report sensitivity, specificity and dangerous-direction error rate on that set, separately from your development set. Expect the numbers to drop. That is the point: a held-out 0.90 is worth far more than a development 1.00.</w:t>
      </w:r>
    </w:p>
    <w:p>
      <w:pPr>
        <w:pStyle w:val="Heading2"/>
      </w:pPr>
      <w:r>
        <w:t>Phase 6 — Clinician expert review (Weeks 12–14, parallel, optional)</w:t>
      </w:r>
    </w:p>
    <w:p>
      <w:pPr>
        <w:spacing w:after="120"/>
      </w:pPr>
      <w:r>
        <w:rPr>
          <w:b w:val="0"/>
          <w:i w:val="0"/>
        </w:rPr>
        <w:t>50 system responses rated by 3 Nepali clinicians on safety, factual accuracy, usefulness and care-tier appropriateness, plus free-text harm flags. No patient data. Optional by design — never let this gate submission.</w:t>
      </w:r>
    </w:p>
    <w:p>
      <w:pPr>
        <w:pStyle w:val="Heading2"/>
      </w:pPr>
      <w:r>
        <w:t>Phase 7 — Write and submit (Weeks 15–18)</w:t>
      </w:r>
    </w:p>
    <w:p>
      <w:pPr>
        <w:spacing w:after="120"/>
      </w:pPr>
      <w:r>
        <w:rPr>
          <w:b w:val="0"/>
          <w:i w:val="0"/>
        </w:rPr>
        <w:t>Draft in this order: Results → Methods → Related Work → Discussion → Introduction → Abstract. Never write the abstract first; you do not yet know what the numbers say.</w:t>
      </w:r>
    </w:p>
    <w:p>
      <w:pPr>
        <w:spacing w:after="120"/>
      </w:pPr>
      <w:r>
        <w:rPr>
          <w:b w:val="0"/>
          <w:i w:val="0"/>
        </w:rPr>
        <w:t>Five figures: the cascade architecture with the emergency path shown bypassing the LLM entirely; the frontier curve; the ablation waterfall; judge validation with kappa; and latency distributions including time-to-first-safe-sentence.</w:t>
      </w:r>
    </w:p>
    <w:p>
      <w:pPr>
        <w:spacing w:after="120"/>
      </w:pPr>
      <w:r>
        <w:rPr>
          <w:b/>
          <w:i w:val="0"/>
        </w:rPr>
        <w:t xml:space="preserve">One thing you must do in Related Work: </w:t>
      </w:r>
      <w:r>
        <w:rPr>
          <w:b w:val="0"/>
          <w:i w:val="0"/>
        </w:rPr>
        <w:t>explicitly differentiate from Self-RAG and CRAG. They train critique tokens into the generator. You apply an external, model-agnostic, post-hoc cascade that works with any backbone and under streaming. That distinction is your defence against "this is just RAG plus NLI".</w:t>
      </w:r>
    </w:p>
    <w:p>
      <w:r>
        <w:br w:type="page"/>
      </w:r>
    </w:p>
    <w:p>
      <w:pPr>
        <w:pStyle w:val="Heading1"/>
      </w:pPr>
      <w:r>
        <w:t>5. Ethics approval and annotators — what to do and why</w:t>
      </w:r>
    </w:p>
    <w:p>
      <w:pPr>
        <w:pStyle w:val="Heading2"/>
      </w:pPr>
      <w:r>
        <w:t>5.1 The key insight: your paper is not blocked on ethics</w:t>
      </w:r>
    </w:p>
    <w:p>
      <w:pPr>
        <w:spacing w:after="80"/>
      </w:pPr>
      <w:r>
        <w:rPr>
          <w:b w:val="0"/>
          <w:i w:val="0"/>
        </w:rPr>
        <w:t>Three different activities get conflated here, and they have genuinely different requirements:</w:t>
      </w:r>
    </w:p>
    <w:tbl>
      <w:tblPr>
        <w:tblStyle w:val="LightGrid-Accent1"/>
        <w:tblW w:type="auto" w:w="0"/>
        <w:jc w:val="center"/>
        <w:tblLook w:firstColumn="1" w:firstRow="1" w:lastColumn="0" w:lastRow="0" w:noHBand="0" w:noVBand="1" w:val="04A0"/>
      </w:tblPr>
      <w:tblGrid>
        <w:gridCol w:w="3264"/>
        <w:gridCol w:w="3264"/>
        <w:gridCol w:w="3264"/>
      </w:tblGrid>
      <w:tr>
        <w:tc>
          <w:tcPr>
            <w:tcW w:type="dxa" w:w="3456"/>
          </w:tcPr>
          <w:p>
            <w:r/>
            <w:r>
              <w:rPr>
                <w:b/>
                <w:sz w:val="19"/>
              </w:rPr>
              <w:t>Activity</w:t>
            </w:r>
          </w:p>
        </w:tc>
        <w:tc>
          <w:tcPr>
            <w:tcW w:type="dxa" w:w="3168"/>
          </w:tcPr>
          <w:p>
            <w:r/>
            <w:r>
              <w:rPr>
                <w:b/>
                <w:sz w:val="19"/>
              </w:rPr>
              <w:t>Are they research subjects?</w:t>
            </w:r>
          </w:p>
        </w:tc>
        <w:tc>
          <w:tcPr>
            <w:tcW w:type="dxa" w:w="3168"/>
          </w:tcPr>
          <w:p>
            <w:r/>
            <w:r>
              <w:rPr>
                <w:b/>
                <w:sz w:val="19"/>
              </w:rPr>
              <w:t>Likely requirement</w:t>
            </w:r>
          </w:p>
        </w:tc>
      </w:tr>
      <w:tr>
        <w:tc>
          <w:tcPr>
            <w:tcW w:type="dxa" w:w="3456"/>
          </w:tcPr>
          <w:p>
            <w:r/>
            <w:r>
              <w:rPr>
                <w:b w:val="0"/>
                <w:sz w:val="19"/>
              </w:rPr>
              <w:t>Annotators labelling model outputs** (Phase 3.2 — your actual contribution)</w:t>
            </w:r>
          </w:p>
        </w:tc>
        <w:tc>
          <w:tcPr>
            <w:tcW w:type="dxa" w:w="3168"/>
          </w:tcPr>
          <w:p>
            <w:r/>
            <w:r>
              <w:rPr>
                <w:b w:val="0"/>
                <w:sz w:val="19"/>
              </w:rPr>
              <w:t>No.** They are research personnel. You collect no data about them.</w:t>
            </w:r>
          </w:p>
        </w:tc>
        <w:tc>
          <w:tcPr>
            <w:tcW w:type="dxa" w:w="3168"/>
          </w:tcPr>
          <w:p>
            <w:r/>
            <w:r>
              <w:rPr>
                <w:b/>
                <w:sz w:val="19"/>
              </w:rPr>
              <w:t>Probably none. Confirm, but do not wait.</w:t>
            </w:r>
          </w:p>
        </w:tc>
      </w:tr>
      <w:tr>
        <w:tc>
          <w:tcPr>
            <w:tcW w:type="dxa" w:w="3456"/>
          </w:tcPr>
          <w:p>
            <w:r/>
            <w:r>
              <w:rPr>
                <w:b w:val="0"/>
                <w:sz w:val="19"/>
              </w:rPr>
              <w:t>Clinicians giving Likert opinions (Phase 6, optional)</w:t>
            </w:r>
          </w:p>
        </w:tc>
        <w:tc>
          <w:tcPr>
            <w:tcW w:type="dxa" w:w="3168"/>
          </w:tcPr>
          <w:p>
            <w:r/>
            <w:r>
              <w:rPr>
                <w:b w:val="0"/>
                <w:sz w:val="19"/>
              </w:rPr>
              <w:t>Borderline — their opinions are your data</w:t>
            </w:r>
          </w:p>
        </w:tc>
        <w:tc>
          <w:tcPr>
            <w:tcW w:type="dxa" w:w="3168"/>
          </w:tcPr>
          <w:p>
            <w:r/>
            <w:r>
              <w:rPr>
                <w:b w:val="0"/>
                <w:sz w:val="19"/>
              </w:rPr>
              <w:t>Often exempt or expedited. Ask in writing.</w:t>
            </w:r>
          </w:p>
        </w:tc>
      </w:tr>
      <w:tr>
        <w:tc>
          <w:tcPr>
            <w:tcW w:type="dxa" w:w="3456"/>
          </w:tcPr>
          <w:p>
            <w:r/>
            <w:r>
              <w:rPr>
                <w:b w:val="0"/>
                <w:sz w:val="19"/>
              </w:rPr>
              <w:t>A user pilot (not in this plan)</w:t>
            </w:r>
          </w:p>
        </w:tc>
        <w:tc>
          <w:tcPr>
            <w:tcW w:type="dxa" w:w="3168"/>
          </w:tcPr>
          <w:p>
            <w:r/>
            <w:r>
              <w:rPr>
                <w:b w:val="0"/>
                <w:sz w:val="19"/>
              </w:rPr>
              <w:t>Yes — real users, real health questions</w:t>
            </w:r>
          </w:p>
        </w:tc>
        <w:tc>
          <w:tcPr>
            <w:tcW w:type="dxa" w:w="3168"/>
          </w:tcPr>
          <w:p>
            <w:r/>
            <w:r>
              <w:rPr>
                <w:b w:val="0"/>
                <w:sz w:val="19"/>
              </w:rPr>
              <w:t>Full review, consent, data protection plan</w:t>
            </w:r>
          </w:p>
        </w:tc>
      </w:tr>
    </w:tbl>
    <w:p>
      <w:pPr>
        <w:spacing w:after="80"/>
      </w:pPr>
    </w:p>
    <w:p>
      <w:pPr>
        <w:spacing w:after="160"/>
      </w:pPr>
      <w:r>
        <w:rPr>
          <w:b/>
          <w:i w:val="0"/>
        </w:rPr>
        <w:t>So the core contribution is almost certainly unblocked, and Phase 6 is optional. Ethics delay cannot kill this paper. You still ask in Week 1, in writing, because journals require an ethics statement and "we assumed it was exempt" is not one.</w:t>
      </w:r>
    </w:p>
    <w:p>
      <w:pPr>
        <w:pStyle w:val="Heading2"/>
      </w:pPr>
      <w:r>
        <w:t>5.2 NHRC — what it is, why it matters, what to do</w:t>
      </w:r>
    </w:p>
    <w:p>
      <w:pPr>
        <w:spacing w:after="120"/>
      </w:pPr>
      <w:r>
        <w:rPr>
          <w:b/>
          <w:i w:val="0"/>
        </w:rPr>
        <w:t xml:space="preserve">What it is: </w:t>
      </w:r>
      <w:r>
        <w:rPr>
          <w:b w:val="0"/>
          <w:i w:val="0"/>
        </w:rPr>
        <w:t>the Nepal Health Research Council is the national body that reviews health research in Nepal. Its Ethical Review Board issues approval or exemption letters.</w:t>
      </w:r>
    </w:p>
    <w:p>
      <w:pPr>
        <w:spacing w:after="120"/>
      </w:pPr>
      <w:r>
        <w:rPr>
          <w:b/>
          <w:i w:val="0"/>
        </w:rPr>
        <w:t xml:space="preserve">Why it matters: </w:t>
      </w:r>
      <w:r>
        <w:rPr>
          <w:b w:val="0"/>
          <w:i w:val="0"/>
        </w:rPr>
        <w:t>JMIR, AMIA and every medical venue require an ethics statement naming the approving body or the exemption determination. Without one you risk desk rejection — and discovery after publication is far worse.</w:t>
      </w:r>
    </w:p>
    <w:p>
      <w:pPr>
        <w:spacing w:after="80"/>
      </w:pPr>
      <w:r>
        <w:rPr>
          <w:b/>
          <w:i w:val="0"/>
        </w:rPr>
        <w:t>Do this in Week 1:</w:t>
      </w:r>
    </w:p>
    <w:p>
      <w:pPr>
        <w:pStyle w:val="ListNumber"/>
        <w:spacing w:after="60"/>
      </w:pPr>
      <w:r>
        <w:rPr>
          <w:b/>
        </w:rPr>
        <w:t xml:space="preserve">Check your own institution first. </w:t>
      </w:r>
      <w:r>
        <w:t>Most Nepali universities and medical colleges have an Institutional Review Committee, and NHRC often expects institutional review first. For low-risk work an IRC letter may be enough. Ask your supervisor which applies — this one question could save you two months.</w:t>
      </w:r>
    </w:p>
    <w:p>
      <w:pPr>
        <w:pStyle w:val="ListNumber"/>
        <w:spacing w:after="60"/>
      </w:pPr>
      <w:r>
        <w:rPr>
          <w:b/>
        </w:rPr>
        <w:t xml:space="preserve">Email the NHRC ERB secretariat </w:t>
      </w:r>
      <w:r>
        <w:t>via nhrc.gov.np, with a one-page description: title, objective, what data you collect, from whom, how it is stored, risks, and consent process.</w:t>
      </w:r>
    </w:p>
    <w:p>
      <w:pPr>
        <w:pStyle w:val="ListNumber"/>
        <w:spacing w:after="60"/>
      </w:pPr>
      <w:r>
        <w:rPr>
          <w:b/>
        </w:rPr>
        <w:t xml:space="preserve">Ask these three questions explicitly: </w:t>
      </w:r>
      <w:r>
        <w:t>(a) Does having trained annotators label AI-generated text against source documents constitute human-subjects research? (b) Does a clinician expert-review survey with no patient data require full review, expedited review, or is it exempt? (c) Would a future 20–30 user pilot require full review?</w:t>
      </w:r>
    </w:p>
    <w:p>
      <w:pPr>
        <w:pStyle w:val="ListNumber"/>
        <w:spacing w:after="60"/>
      </w:pPr>
      <w:r>
        <w:rPr>
          <w:b/>
        </w:rPr>
        <w:t xml:space="preserve">Get the answer in writing </w:t>
      </w:r>
      <w:r>
        <w:t>and file it. That letter is your ethics statement.</w:t>
      </w:r>
    </w:p>
    <w:p>
      <w:pPr>
        <w:spacing w:after="160"/>
      </w:pPr>
      <w:r>
        <w:rPr>
          <w:b w:val="0"/>
          <w:i/>
        </w:rPr>
        <w:t>Expect 6 to 12 weeks. That is precisely why it goes in Week 1 — and why nothing is allowed to depend on it.</w:t>
      </w:r>
    </w:p>
    <w:p>
      <w:pPr>
        <w:pStyle w:val="Heading2"/>
      </w:pPr>
      <w:r>
        <w:t>5.3 Annotators — who, how many, and the protocol that makes it credible</w:t>
      </w:r>
    </w:p>
    <w:p>
      <w:pPr>
        <w:pStyle w:val="ListBullet"/>
        <w:spacing w:after="60"/>
      </w:pPr>
      <w:r>
        <w:rPr>
          <w:b/>
        </w:rPr>
        <w:t xml:space="preserve">Who: </w:t>
      </w:r>
      <w:r>
        <w:t>MBBS interns, final-year MBBS students, or junior doctors. Not pre-clinical students — they need enough clinical judgment to rate potential harm.</w:t>
      </w:r>
    </w:p>
    <w:p>
      <w:pPr>
        <w:pStyle w:val="ListBullet"/>
        <w:spacing w:after="60"/>
      </w:pPr>
      <w:r>
        <w:rPr>
          <w:b/>
        </w:rPr>
        <w:t xml:space="preserve">How many: </w:t>
      </w:r>
      <w:r>
        <w:t>two independent annotators plus one senior adjudicator for disagreements. Two is the minimum that lets you report kappa, and kappa is what makes the labels credible.</w:t>
      </w:r>
    </w:p>
    <w:p>
      <w:pPr>
        <w:pStyle w:val="ListBullet"/>
        <w:spacing w:after="60"/>
      </w:pPr>
      <w:r>
        <w:rPr>
          <w:b/>
        </w:rPr>
        <w:t xml:space="preserve">Where: </w:t>
      </w:r>
      <w:r>
        <w:t>IOM Maharajgunj (TU), BPKIHS Dharan, KUSMS Dhulikhel, Patan Academy of Health Sciences, NAMS/Bir. Nepal Medical College and KIST as backups. Identify a backup institution now — stalled recruitment is the single most likely thing to wreck your schedule.</w:t>
      </w:r>
    </w:p>
    <w:p>
      <w:pPr>
        <w:pStyle w:val="ListBullet"/>
        <w:spacing w:after="60"/>
      </w:pPr>
      <w:r>
        <w:rPr>
          <w:b/>
        </w:rPr>
        <w:t xml:space="preserve">How to ask: </w:t>
      </w:r>
      <w:r>
        <w:t>be concrete, not vague. "About 6 hours of structured labelling, remote, over two weeks, paid Rs X, with acknowledgement in a publication" works far better than a general request. Route through a department contact or your supervisor rather than cold email.</w:t>
      </w:r>
    </w:p>
    <w:p>
      <w:pPr>
        <w:pStyle w:val="ListBullet"/>
        <w:spacing w:after="60"/>
      </w:pPr>
      <w:r>
        <w:rPr>
          <w:b/>
        </w:rPr>
        <w:t xml:space="preserve">Pay them </w:t>
      </w:r>
      <w:r>
        <w:t>and say so in the paper. Reviewers increasingly check for annotator compensation, and unpaid medical-student labour is an ethics flag.</w:t>
      </w:r>
    </w:p>
    <w:p>
      <w:pPr>
        <w:spacing w:after="80"/>
      </w:pPr>
      <w:r>
        <w:rPr>
          <w:b/>
          <w:i w:val="0"/>
        </w:rPr>
        <w:t>The protocol that makes the labels defensible:</w:t>
      </w:r>
    </w:p>
    <w:p>
      <w:pPr>
        <w:pStyle w:val="ListNumber"/>
        <w:spacing w:after="60"/>
      </w:pPr>
      <w:r>
        <w:t>Write the annotation guideline before recruiting. It ships as an appendix.</w:t>
      </w:r>
    </w:p>
    <w:p>
      <w:pPr>
        <w:pStyle w:val="ListNumber"/>
        <w:spacing w:after="60"/>
      </w:pPr>
      <w:r>
        <w:t>Calibration round: every annotator labels the same 30 items. Compute kappa.</w:t>
      </w:r>
    </w:p>
    <w:p>
      <w:pPr>
        <w:pStyle w:val="ListNumber"/>
        <w:spacing w:after="60"/>
      </w:pPr>
      <w:r>
        <w:t>If kappa is below 0.6, stop. Revise the guideline, discuss the disagreements, recalibrate. Do not proceed to the main set with poor agreement — you cannot fix it afterwards.</w:t>
      </w:r>
    </w:p>
    <w:p>
      <w:pPr>
        <w:pStyle w:val="ListNumber"/>
        <w:spacing w:after="60"/>
      </w:pPr>
      <w:r>
        <w:t>Blind annotators to which arm produced each item. Shuffle and strip identifiers. This is non-negotiable and reviewers look for it.</w:t>
      </w:r>
    </w:p>
    <w:p>
      <w:pPr>
        <w:pStyle w:val="ListNumber"/>
        <w:spacing w:after="60"/>
      </w:pPr>
      <w:r>
        <w:t>Adjudicate disagreements with the third rater, and report both raw and adjudicated numbers.</w:t>
      </w:r>
    </w:p>
    <w:p>
      <w:pPr>
        <w:spacing w:after="120"/>
      </w:pPr>
      <w:r>
        <w:rPr>
          <w:b w:val="0"/>
          <w:i/>
        </w:rPr>
        <w:t>Volume: roughly 550 items across two annotators is about 18 person-hours. Very manageable — budget accordingly.</w:t>
      </w:r>
    </w:p>
    <w:p>
      <w:r>
        <w:br w:type="page"/>
      </w:r>
    </w:p>
    <w:p>
      <w:pPr>
        <w:pStyle w:val="Heading1"/>
      </w:pPr>
      <w:r>
        <w:t>6. How every change gets documented</w:t>
      </w:r>
    </w:p>
    <w:p>
      <w:pPr>
        <w:spacing w:after="160"/>
      </w:pPr>
      <w:r>
        <w:rPr>
          <w:b w:val="0"/>
          <w:i w:val="0"/>
        </w:rPr>
        <w:t>You need to be able to explain and defend every change in this project yourself — in a viva, to a supervisor, and to reviewers. Working code you cannot justify is not useful to you. So documentation is a deliverable here, not a by-product.</w:t>
      </w:r>
    </w:p>
    <w:p>
      <w:pPr>
        <w:spacing w:after="80"/>
      </w:pPr>
      <w:r>
        <w:rPr>
          <w:b w:val="0"/>
          <w:i w:val="0"/>
        </w:rPr>
        <w:t>A single running file, docs/PAPER_WORKLOG.md, updated as work happens rather than reconstructed later. Every entry answers three questions in plain language:</w:t>
      </w:r>
    </w:p>
    <w:p>
      <w:pPr>
        <w:pStyle w:val="ListBullet"/>
        <w:spacing w:after="60"/>
      </w:pPr>
      <w:r>
        <w:rPr>
          <w:b/>
        </w:rPr>
        <w:t xml:space="preserve">What changed — </w:t>
      </w:r>
      <w:r>
        <w:t>which file, and what is different now.</w:t>
      </w:r>
    </w:p>
    <w:p>
      <w:pPr>
        <w:pStyle w:val="ListBullet"/>
        <w:spacing w:after="60"/>
      </w:pPr>
      <w:r>
        <w:rPr>
          <w:b/>
        </w:rPr>
        <w:t xml:space="preserve">Why — </w:t>
      </w:r>
      <w:r>
        <w:t>the problem it solves.</w:t>
      </w:r>
    </w:p>
    <w:p>
      <w:pPr>
        <w:pStyle w:val="ListBullet"/>
        <w:spacing w:after="60"/>
      </w:pPr>
      <w:r>
        <w:rPr>
          <w:b/>
        </w:rPr>
        <w:t xml:space="preserve">Impact on the project — </w:t>
      </w:r>
      <w:r>
        <w:t>what this changes for you and for the paper, not what it changes in the code.</w:t>
      </w:r>
    </w:p>
    <w:p>
      <w:pPr>
        <w:spacing w:after="80"/>
      </w:pPr>
      <w:r>
        <w:rPr>
          <w:b/>
          <w:i w:val="0"/>
        </w:rPr>
        <w:t>Six rules:</w:t>
      </w:r>
    </w:p>
    <w:p>
      <w:pPr>
        <w:pStyle w:val="ListNumber"/>
        <w:spacing w:after="60"/>
      </w:pPr>
      <w:r>
        <w:t>Every entry has What, Why and Impact.</w:t>
      </w:r>
    </w:p>
    <w:p>
      <w:pPr>
        <w:pStyle w:val="ListNumber"/>
        <w:spacing w:after="60"/>
      </w:pPr>
      <w:r>
        <w:t>Plain language. If a technical term is unavoidable, define it once.</w:t>
      </w:r>
    </w:p>
    <w:p>
      <w:pPr>
        <w:pStyle w:val="ListNumber"/>
        <w:spacing w:after="60"/>
      </w:pPr>
      <w:r>
        <w:t>Trade-offs get written down, not silently resolved. When there is a real choice, record the options and why one was picked. These become Methods paragraphs and viva answers.</w:t>
      </w:r>
    </w:p>
    <w:p>
      <w:pPr>
        <w:pStyle w:val="ListNumber"/>
        <w:spacing w:after="60"/>
      </w:pPr>
      <w:r>
        <w:t>Negative results and mistakes get logged too. "We tried X, it was worse, here are the numbers" is paper material and stops you repeating it.</w:t>
      </w:r>
    </w:p>
    <w:p>
      <w:pPr>
        <w:pStyle w:val="ListNumber"/>
        <w:spacing w:after="60"/>
      </w:pPr>
      <w:r>
        <w:t>Every change is also summarised in plain terms in conversation as it is made.</w:t>
      </w:r>
    </w:p>
    <w:p>
      <w:pPr>
        <w:pStyle w:val="ListNumber"/>
        <w:spacing w:after="60"/>
      </w:pPr>
      <w:r>
        <w:t>Nothing is changed silently. If a file is modified, it appears in the worklog.</w:t>
      </w:r>
    </w:p>
    <w:p>
      <w:pPr>
        <w:spacing w:after="160"/>
      </w:pPr>
      <w:r>
        <w:rPr>
          <w:b w:val="0"/>
          <w:i w:val="0"/>
        </w:rPr>
        <w:t>This is not busywork. docs/DOCUMED.md — 8,600 lines of dated provenance — is already one of this project's rarest assets, because it means any threshold in your system can be traced back to a reason. Most projects cannot do that. The worklog continues that discipline through the paper phase, and it feeds directly into your Methods, Limitations and reproducibility sections.</w:t>
      </w:r>
    </w:p>
    <w:p>
      <w:pPr>
        <w:pBdr>
          <w:bottom w:val="single" w:sz="6" w:color="C9D3DC"/>
        </w:pBdr>
        <w:spacing w:after="200"/>
      </w:pPr>
    </w:p>
    <w:p>
      <w:pPr>
        <w:pStyle w:val="Heading1"/>
      </w:pPr>
      <w:r>
        <w:t>7. Risks, and what happens if they land</w:t>
      </w:r>
    </w:p>
    <w:tbl>
      <w:tblPr>
        <w:tblStyle w:val="LightGrid-Accent1"/>
        <w:tblW w:type="auto" w:w="0"/>
        <w:jc w:val="center"/>
        <w:tblLook w:firstColumn="1" w:firstRow="1" w:lastColumn="0" w:lastRow="0" w:noHBand="0" w:noVBand="1" w:val="04A0"/>
      </w:tblPr>
      <w:tblGrid>
        <w:gridCol w:w="4896"/>
        <w:gridCol w:w="4896"/>
      </w:tblGrid>
      <w:tr>
        <w:tc>
          <w:tcPr>
            <w:tcW w:type="dxa" w:w="3312"/>
          </w:tcPr>
          <w:p>
            <w:r/>
            <w:r>
              <w:rPr>
                <w:b/>
                <w:sz w:val="19"/>
              </w:rPr>
              <w:t>Risk</w:t>
            </w:r>
          </w:p>
        </w:tc>
        <w:tc>
          <w:tcPr>
            <w:tcW w:type="dxa" w:w="6480"/>
          </w:tcPr>
          <w:p>
            <w:r/>
            <w:r>
              <w:rPr>
                <w:b/>
                <w:sz w:val="19"/>
              </w:rPr>
              <w:t>What protects you</w:t>
            </w:r>
          </w:p>
        </w:tc>
      </w:tr>
      <w:tr>
        <w:tc>
          <w:tcPr>
            <w:tcW w:type="dxa" w:w="3312"/>
          </w:tcPr>
          <w:p>
            <w:r/>
            <w:r>
              <w:rPr>
                <w:b w:val="0"/>
                <w:sz w:val="19"/>
              </w:rPr>
              <w:t>Supabase vanishes again** — it already did once</w:t>
            </w:r>
          </w:p>
        </w:tc>
        <w:tc>
          <w:tcPr>
            <w:tcW w:type="dxa" w:w="6480"/>
          </w:tcPr>
          <w:p>
            <w:r/>
            <w:r>
              <w:rPr>
                <w:b w:val="0"/>
                <w:sz w:val="19"/>
              </w:rPr>
              <w:t>The Phase 0 local export with embeddings, plus an off-machine copy. After that the corpus is never a single point of failure again.</w:t>
            </w:r>
          </w:p>
        </w:tc>
      </w:tr>
      <w:tr>
        <w:tc>
          <w:tcPr>
            <w:tcW w:type="dxa" w:w="3312"/>
          </w:tcPr>
          <w:p>
            <w:r/>
            <w:r>
              <w:rPr>
                <w:b w:val="0"/>
                <w:sz w:val="19"/>
              </w:rPr>
              <w:t>Local inference turns out too slow</w:t>
            </w:r>
          </w:p>
        </w:tc>
        <w:tc>
          <w:tcPr>
            <w:tcW w:type="dxa" w:w="6480"/>
          </w:tcPr>
          <w:p>
            <w:r/>
            <w:r>
              <w:rPr>
                <w:b w:val="0"/>
                <w:sz w:val="19"/>
              </w:rPr>
              <w:t>Demote local to the determinism subset; bulk moves to free cloud tiers with checkpoint and resume. The plan survives either way.</w:t>
            </w:r>
          </w:p>
        </w:tc>
      </w:tr>
      <w:tr>
        <w:tc>
          <w:tcPr>
            <w:tcW w:type="dxa" w:w="3312"/>
          </w:tcPr>
          <w:p>
            <w:r/>
            <w:r>
              <w:rPr>
                <w:b w:val="0"/>
                <w:sz w:val="19"/>
              </w:rPr>
              <w:t>Groq retires gpt-oss-20b as well</w:t>
            </w:r>
          </w:p>
        </w:tc>
        <w:tc>
          <w:tcPr>
            <w:tcW w:type="dxa" w:w="6480"/>
          </w:tcPr>
          <w:p>
            <w:r/>
            <w:r>
              <w:rPr>
                <w:b w:val="0"/>
                <w:sz w:val="19"/>
              </w:rPr>
              <w:t>Your local weights are hash-pinned and archived. This is exactly why the local path exists.</w:t>
            </w:r>
          </w:p>
        </w:tc>
      </w:tr>
      <w:tr>
        <w:tc>
          <w:tcPr>
            <w:tcW w:type="dxa" w:w="3312"/>
          </w:tcPr>
          <w:p>
            <w:r/>
            <w:r>
              <w:rPr>
                <w:b w:val="0"/>
                <w:sz w:val="19"/>
              </w:rPr>
              <w:t>Free-tier quota runs out mid-experiment</w:t>
            </w:r>
          </w:p>
        </w:tc>
        <w:tc>
          <w:tcPr>
            <w:tcW w:type="dxa" w:w="6480"/>
          </w:tcPr>
          <w:p>
            <w:r/>
            <w:r>
              <w:rPr>
                <w:b w:val="0"/>
                <w:sz w:val="19"/>
              </w:rPr>
              <w:t>Checkpoint and resume from day one, multi-provider failover, and the local path has no quota.</w:t>
            </w:r>
          </w:p>
        </w:tc>
      </w:tr>
      <w:tr>
        <w:tc>
          <w:tcPr>
            <w:tcW w:type="dxa" w:w="3312"/>
          </w:tcPr>
          <w:p>
            <w:r/>
            <w:r>
              <w:rPr>
                <w:b w:val="0"/>
                <w:sz w:val="19"/>
              </w:rPr>
              <w:t>Annotator recruitment stalls</w:t>
            </w:r>
          </w:p>
        </w:tc>
        <w:tc>
          <w:tcPr>
            <w:tcW w:type="dxa" w:w="6480"/>
          </w:tcPr>
          <w:p>
            <w:r/>
            <w:r>
              <w:rPr>
                <w:b w:val="0"/>
                <w:sz w:val="19"/>
              </w:rPr>
              <w:t>Start Week 1, identify a backup institution up front, and let kappa calibration catch quality problems early.</w:t>
            </w:r>
          </w:p>
        </w:tc>
      </w:tr>
      <w:tr>
        <w:tc>
          <w:tcPr>
            <w:tcW w:type="dxa" w:w="3312"/>
          </w:tcPr>
          <w:p>
            <w:r/>
            <w:r>
              <w:rPr>
                <w:b w:val="0"/>
                <w:sz w:val="19"/>
              </w:rPr>
              <w:t>Ethics approval is slow</w:t>
            </w:r>
          </w:p>
        </w:tc>
        <w:tc>
          <w:tcPr>
            <w:tcW w:type="dxa" w:w="6480"/>
          </w:tcPr>
          <w:p>
            <w:r/>
            <w:r>
              <w:rPr>
                <w:b w:val="0"/>
                <w:sz w:val="19"/>
              </w:rPr>
              <w:t>The core contribution is not human-subjects work. Phase 6 is optional.</w:t>
            </w:r>
          </w:p>
        </w:tc>
      </w:tr>
      <w:tr>
        <w:tc>
          <w:tcPr>
            <w:tcW w:type="dxa" w:w="3312"/>
          </w:tcPr>
          <w:p>
            <w:r/>
            <w:r>
              <w:rPr>
                <w:b w:val="0"/>
                <w:sz w:val="19"/>
              </w:rPr>
              <w:t>Held-out red-flag numbers drop sharply</w:t>
            </w:r>
          </w:p>
        </w:tc>
        <w:tc>
          <w:tcPr>
            <w:tcW w:type="dxa" w:w="6480"/>
          </w:tcPr>
          <w:p>
            <w:r/>
            <w:r>
              <w:rPr>
                <w:b w:val="0"/>
                <w:sz w:val="19"/>
              </w:rPr>
              <w:t>Expected and correct. Report development and held-out separately.</w:t>
            </w:r>
          </w:p>
        </w:tc>
      </w:tr>
      <w:tr>
        <w:tc>
          <w:tcPr>
            <w:tcW w:type="dxa" w:w="3312"/>
          </w:tcPr>
          <w:p>
            <w:r/>
            <w:r>
              <w:rPr>
                <w:b/>
                <w:sz w:val="19"/>
              </w:rPr>
              <w:t>The results come out weaker than you hoped</w:t>
            </w:r>
          </w:p>
        </w:tc>
        <w:tc>
          <w:tcPr>
            <w:tcW w:type="dxa" w:w="6480"/>
          </w:tcPr>
          <w:p>
            <w:r/>
            <w:r>
              <w:rPr>
                <w:b w:val="0"/>
                <w:sz w:val="19"/>
              </w:rPr>
              <w:t>The frontier framing is built for exactly this. A rigorous modest result with a clean curve is publishable; an unsupported strong claim is not. Decide now that you will report what you find.</w:t>
            </w:r>
          </w:p>
        </w:tc>
      </w:tr>
      <w:tr>
        <w:tc>
          <w:tcPr>
            <w:tcW w:type="dxa" w:w="3312"/>
          </w:tcPr>
          <w:p>
            <w:r/>
            <w:r>
              <w:rPr>
                <w:b w:val="0"/>
                <w:sz w:val="19"/>
              </w:rPr>
              <w:t>Reviewer says "this is just RAG plus NLI"</w:t>
            </w:r>
          </w:p>
        </w:tc>
        <w:tc>
          <w:tcPr>
            <w:tcW w:type="dxa" w:w="6480"/>
          </w:tcPr>
          <w:p>
            <w:r/>
            <w:r>
              <w:rPr>
                <w:b w:val="0"/>
                <w:sz w:val="19"/>
              </w:rPr>
              <w:t>Contributions 1 and 2: clinician-adjudicated refusal ground truth, and streaming-safe guardrailing, each with a dedicated evaluation.</w:t>
            </w:r>
          </w:p>
        </w:tc>
      </w:tr>
      <w:tr>
        <w:tc>
          <w:tcPr>
            <w:tcW w:type="dxa" w:w="3312"/>
          </w:tcPr>
          <w:p>
            <w:r/>
            <w:r>
              <w:rPr>
                <w:b w:val="0"/>
                <w:sz w:val="19"/>
              </w:rPr>
              <w:t>Reviewer checks the corpus and finds it is 82% MedlinePlus</w:t>
            </w:r>
          </w:p>
        </w:tc>
        <w:tc>
          <w:tcPr>
            <w:tcW w:type="dxa" w:w="6480"/>
          </w:tcPr>
          <w:p>
            <w:r/>
            <w:r>
              <w:rPr>
                <w:b w:val="0"/>
                <w:sz w:val="19"/>
              </w:rPr>
              <w:t>Pre-empt it. State the composition in Table 1 and frame Nepal as a routing-layer contribution. Never let a reviewer discover this for you.</w:t>
            </w:r>
          </w:p>
        </w:tc>
      </w:tr>
      <w:tr>
        <w:tc>
          <w:tcPr>
            <w:tcW w:type="dxa" w:w="3312"/>
          </w:tcPr>
          <w:p>
            <w:r/>
            <w:r>
              <w:rPr>
                <w:b w:val="0"/>
                <w:sz w:val="19"/>
              </w:rPr>
              <w:t>Scope creep back into product work</w:t>
            </w:r>
          </w:p>
        </w:tc>
        <w:tc>
          <w:tcPr>
            <w:tcW w:type="dxa" w:w="6480"/>
          </w:tcPr>
          <w:p>
            <w:r/>
            <w:r>
              <w:rPr>
                <w:b w:val="0"/>
                <w:sz w:val="19"/>
              </w:rPr>
              <w:t>Freeze at paper-v1. Product bugs go to a branch. Paper numbers come from tags.</w:t>
            </w:r>
          </w:p>
        </w:tc>
      </w:tr>
    </w:tbl>
    <w:p>
      <w:pPr>
        <w:spacing w:after="80"/>
      </w:pPr>
    </w:p>
    <w:p>
      <w:r>
        <w:br w:type="page"/>
      </w:r>
    </w:p>
    <w:p>
      <w:pPr>
        <w:pStyle w:val="Heading1"/>
      </w:pPr>
      <w:r>
        <w:t>8. The way forward — what happens next</w:t>
      </w:r>
    </w:p>
    <w:p>
      <w:pPr>
        <w:pStyle w:val="Heading2"/>
      </w:pPr>
      <w:r>
        <w:t>What I need from you</w:t>
      </w:r>
    </w:p>
    <w:p>
      <w:pPr>
        <w:spacing w:after="120"/>
      </w:pPr>
      <w:r>
        <w:rPr>
          <w:b w:val="0"/>
          <w:i/>
          <w:color w:val="1B6B3A"/>
        </w:rPr>
        <w:t>Already done — thank you: Supabase is restored and the manifest folder is recovered.</w:t>
      </w:r>
    </w:p>
    <w:p>
      <w:pPr>
        <w:spacing w:after="80"/>
      </w:pPr>
      <w:r>
        <w:rPr>
          <w:b/>
          <w:i w:val="0"/>
        </w:rPr>
        <w:t>Start this week, in parallel with the technical work:</w:t>
      </w:r>
    </w:p>
    <w:p>
      <w:pPr>
        <w:pStyle w:val="ListNumber"/>
        <w:spacing w:after="60"/>
      </w:pPr>
      <w:r>
        <w:rPr>
          <w:b/>
        </w:rPr>
        <w:t xml:space="preserve">Ask your supervisor about ethics review — </w:t>
      </w:r>
      <w:r>
        <w:t>ask which applies to you, an institutional review committee or NHRC directly. This one question can save two months.</w:t>
      </w:r>
    </w:p>
    <w:p>
      <w:pPr>
        <w:pStyle w:val="ListNumber"/>
        <w:spacing w:after="60"/>
      </w:pPr>
      <w:r>
        <w:rPr>
          <w:b/>
        </w:rPr>
        <w:t xml:space="preserve">Email NHRC </w:t>
      </w:r>
      <w:r>
        <w:t>with the three questions in section 5.2.</w:t>
      </w:r>
    </w:p>
    <w:p>
      <w:pPr>
        <w:pStyle w:val="ListNumber"/>
        <w:spacing w:after="60"/>
      </w:pPr>
      <w:r>
        <w:rPr>
          <w:b/>
        </w:rPr>
        <w:t xml:space="preserve">Start annotator outreach. </w:t>
      </w:r>
      <w:r>
        <w:t>You need two plus an adjudicator. Sending those emails in Week 1 rather than Week 5 is the difference between the core contribution landing and not landing.</w:t>
      </w:r>
    </w:p>
    <w:p>
      <w:pPr>
        <w:pStyle w:val="ListNumber"/>
        <w:spacing w:after="60"/>
      </w:pPr>
      <w:r>
        <w:rPr>
          <w:b/>
        </w:rPr>
        <w:t xml:space="preserve">Rotate </w:t>
      </w:r>
      <w:r>
        <w:t>the five sitting in .env comments.</w:t>
      </w:r>
    </w:p>
    <w:p>
      <w:pPr>
        <w:pStyle w:val="Heading2"/>
      </w:pPr>
      <w:r>
        <w:t>What I will do, in order</w:t>
      </w:r>
    </w:p>
    <w:p>
      <w:pPr>
        <w:pStyle w:val="ListNumber"/>
        <w:spacing w:after="60"/>
      </w:pPr>
      <w:r>
        <w:rPr>
          <w:b/>
        </w:rPr>
        <w:t xml:space="preserve">Back up the corpus: </w:t>
      </w:r>
      <w:r>
        <w:t>all 1,009 documents and 3,816 chunks including embeddings, to local disk plus an off-machine copy. Pure insurance — changes nothing about how your system behaves.</w:t>
      </w:r>
    </w:p>
    <w:p>
      <w:pPr>
        <w:pStyle w:val="ListNumber"/>
        <w:spacing w:after="60"/>
      </w:pPr>
      <w:r>
        <w:rPr>
          <w:b/>
        </w:rPr>
        <w:t xml:space="preserve">Commit the manifests: </w:t>
      </w:r>
      <w:r>
        <w:t>the 224 recovered source URLs. Without them the corpus can never be rebuilt if it is lost again. Also changes nothing about behaviour.</w:t>
      </w:r>
    </w:p>
    <w:p>
      <w:pPr>
        <w:pStyle w:val="ListNumber"/>
        <w:spacing w:after="60"/>
      </w:pPr>
      <w:r>
        <w:rPr>
          <w:b/>
        </w:rPr>
        <w:t xml:space="preserve">Fix the scope-guard safety hole: </w:t>
      </w:r>
      <w:r>
        <w:t>capture the broken behaviour as dated evidence first, then fix it, then measure what the fix costs in over-refusal. This is the first real behaviour change, and I will show you the before and after numbers.</w:t>
      </w:r>
    </w:p>
    <w:p>
      <w:pPr>
        <w:pStyle w:val="ListNumber"/>
        <w:spacing w:after="60"/>
      </w:pPr>
      <w:r>
        <w:rPr>
          <w:b/>
        </w:rPr>
        <w:t xml:space="preserve">Get CI green: </w:t>
      </w:r>
      <w:r>
        <w:t>57 of 58 tests pass now; the failing one is the scope-guard bug above, so fixing it should close both.</w:t>
      </w:r>
    </w:p>
    <w:p>
      <w:pPr>
        <w:pStyle w:val="ListNumber"/>
        <w:spacing w:after="60"/>
      </w:pPr>
      <w:r>
        <w:rPr>
          <w:b/>
        </w:rPr>
        <w:t xml:space="preserve">Open docs/PAPER_WORKLOG.md </w:t>
      </w:r>
      <w:r>
        <w:t>so every change from here carries its What, Why and Impact.</w:t>
      </w:r>
    </w:p>
    <w:p>
      <w:pPr>
        <w:spacing w:after="40"/>
        <w:ind w:left="173"/>
        <w:shd w:val="clear" w:fill="FDECEC"/>
      </w:pPr>
      <w:r>
        <w:rPr>
          <w:b/>
          <w:sz w:val="21"/>
        </w:rPr>
        <w:t>The one thing worth doing immediately regardless</w:t>
      </w:r>
    </w:p>
    <w:p>
      <w:pPr>
        <w:spacing w:after="200"/>
        <w:ind w:left="173"/>
        <w:shd w:val="clear" w:fill="FDECEC"/>
      </w:pPr>
      <w:r>
        <w:rPr>
          <w:sz w:val="20"/>
        </w:rPr>
        <w:t>Back up the corpus. That Supabase project disappeared once already. Steps 1 and 2 change nothing about how your system behaves — they only make sure that if it happens again, it costs you an afternoon instead of the project.</w:t>
      </w:r>
    </w:p>
    <w:p>
      <w:pPr>
        <w:pBdr>
          <w:bottom w:val="single" w:sz="6" w:color="C9D3DC"/>
        </w:pBdr>
        <w:spacing w:after="200"/>
      </w:pPr>
    </w:p>
    <w:p>
      <w:pPr>
        <w:spacing w:after="120"/>
      </w:pPr>
      <w:r>
        <w:rPr>
          <w:b w:val="0"/>
          <w:i/>
          <w:color w:val="555F6B"/>
          <w:sz w:val="18"/>
        </w:rPr>
        <w:t>Full technical plan with file paths, line numbers and exact commands: ~/.claude/plans/i-have-a-folder-virtual-kahan.md</w:t>
      </w:r>
    </w:p>
    <w:p>
      <w:pPr>
        <w:spacing w:after="120"/>
      </w:pPr>
      <w:r>
        <w:rPr>
          <w:b w:val="0"/>
          <w:i/>
          <w:color w:val="555F6B"/>
          <w:sz w:val="18"/>
        </w:rPr>
        <w:t>This document is generated by docs/build_paper_plan_docx.py. Edit that script and re-run it rather than editing the .docx by hand.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C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7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