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0B5C8A"/>
          <w:sz w:val="52"/>
        </w:rPr>
        <w:t>MediRAG → Research Paper</w:t>
      </w:r>
    </w:p>
    <w:p>
      <w:pPr>
        <w:spacing w:after="40"/>
        <w:jc w:val="center"/>
      </w:pPr>
      <w:r>
        <w:rPr>
          <w:color w:val="555F6B"/>
          <w:sz w:val="25"/>
        </w:rPr>
        <w:t>Final plan: audit findings, the paper to write, and the way forward</w:t>
      </w:r>
    </w:p>
    <w:p>
      <w:pPr>
        <w:spacing w:after="280"/>
        <w:jc w:val="center"/>
      </w:pPr>
      <w:r>
        <w:rPr>
          <w:color w:val="555F6B"/>
          <w:sz w:val="19"/>
        </w:rPr>
        <w:t>Prepared 17 September 2026  ·  Supersedes docs/PAPER_PLAN.md (7 August 2026)</w:t>
      </w:r>
    </w:p>
    <w:p>
      <w:pPr>
        <w:pBdr>
          <w:bottom w:val="single" w:sz="6" w:color="C9D3DC"/>
        </w:pBdr>
        <w:spacing w:after="200"/>
      </w:pPr>
    </w:p>
    <w:p>
      <w:pPr>
        <w:pStyle w:val="Heading1"/>
      </w:pPr>
      <w:r>
        <w:t>Read this first — the one-page verdict</w:t>
      </w:r>
    </w:p>
    <w:p>
      <w:pPr>
        <w:spacing w:after="160"/>
      </w:pPr>
      <w:r>
        <w:rPr>
          <w:b w:val="0"/>
          <w:i w:val="0"/>
        </w:rPr>
        <w:t>You asked two questions: where is this project really, and should you write a peer-reviewed paper on it. Short answers:</w:t>
      </w:r>
    </w:p>
    <w:p>
      <w:pPr>
        <w:spacing w:after="120"/>
      </w:pPr>
      <w:r>
        <w:rPr>
          <w:b/>
          <w:i w:val="0"/>
        </w:rPr>
        <w:t xml:space="preserve">Where it is: </w:t>
      </w:r>
      <w:r>
        <w:rPr>
          <w:b w:val="0"/>
          <w:i w:val="0"/>
        </w:rPr>
        <w:t>the engineering is genuinely strong and unusually well documented. The empirical claims are not. Every headline number in the repository is either statistically null, judged circularly, or was produced by a model that no longer exists. None of that is fatal — but none of it can go in a paper as it stands.</w:t>
      </w:r>
    </w:p>
    <w:p>
      <w:pPr>
        <w:spacing w:after="120"/>
      </w:pPr>
      <w:r>
        <w:rPr>
          <w:b/>
          <w:i w:val="0"/>
        </w:rPr>
        <w:t xml:space="preserve">Should you write a paper: </w:t>
      </w:r>
      <w:r>
        <w:rPr>
          <w:b w:val="0"/>
          <w:i w:val="0"/>
        </w:rPr>
        <w:t xml:space="preserve">yes — but not the paper you set out to write. </w:t>
      </w:r>
      <w:r>
        <w:rPr>
          <w:b/>
          <w:i w:val="0"/>
        </w:rPr>
        <w:t>"Our cascade reduces hallucination" is dead</w:t>
      </w:r>
      <w:r>
        <w:rPr>
          <w:b w:val="0"/>
          <w:i w:val="0"/>
        </w:rPr>
        <w:t xml:space="preserve"> (Fisher exact p = 0.548). The paper that is actually here is stronger, more honest, and more novel than that one would have been.</w:t>
      </w:r>
    </w:p>
    <w:p>
      <w:pPr>
        <w:spacing w:after="40"/>
        <w:ind w:left="173"/>
        <w:shd w:val="clear" w:fill="E8F1F8"/>
      </w:pPr>
      <w:r>
        <w:rPr>
          <w:b/>
          <w:sz w:val="21"/>
        </w:rPr>
        <w:t>The paper to write</w:t>
      </w:r>
    </w:p>
    <w:p>
      <w:pPr>
        <w:spacing w:after="200"/>
        <w:ind w:left="173"/>
        <w:shd w:val="clear" w:fill="E8F1F8"/>
      </w:pPr>
      <w:r>
        <w:rPr>
          <w:sz w:val="20"/>
        </w:rPr>
        <w:t>In cascaded consumer-health RAG, safety layers purchase reductions in unsupported clinical claims at a large, systematically under-reported cost in access — and we measure both axes against clinician-adjudicated ground truth.</w:t>
        <w:br/>
        <w:br/>
        <w:t>Working title: "What does safety cost? Measuring the hallucination–access frontier in cascaded consumer-health retrieval-augmented generation"</w:t>
      </w:r>
    </w:p>
    <w:p>
      <w:pPr>
        <w:spacing w:after="120"/>
      </w:pPr>
      <w:r>
        <w:rPr>
          <w:b w:val="0"/>
          <w:i w:val="0"/>
        </w:rPr>
        <w:t>Why this reframe is the right call: it turns your three biggest liabilities into your three main contributions.</w:t>
      </w:r>
    </w:p>
    <w:tbl>
      <w:tblPr>
        <w:tblStyle w:val="LightGrid-Accent1"/>
        <w:tblW w:type="auto" w:w="0"/>
        <w:jc w:val="center"/>
        <w:tblLook w:firstColumn="1" w:firstRow="1" w:lastColumn="0" w:lastRow="0" w:noHBand="0" w:noVBand="1" w:val="04A0"/>
      </w:tblPr>
      <w:tblGrid>
        <w:gridCol w:w="4896"/>
        <w:gridCol w:w="4896"/>
      </w:tblGrid>
      <w:tr>
        <w:tc>
          <w:tcPr>
            <w:tcW w:type="dxa" w:w="3744"/>
          </w:tcPr>
          <w:p>
            <w:r/>
            <w:r>
              <w:rPr>
                <w:b/>
                <w:sz w:val="19"/>
              </w:rPr>
              <w:t>What looks like a problem</w:t>
            </w:r>
          </w:p>
        </w:tc>
        <w:tc>
          <w:tcPr>
            <w:tcW w:type="dxa" w:w="6048"/>
          </w:tcPr>
          <w:p>
            <w:r/>
            <w:r>
              <w:rPr>
                <w:b/>
                <w:sz w:val="19"/>
              </w:rPr>
              <w:t>What it becomes in this paper</w:t>
            </w:r>
          </w:p>
        </w:tc>
      </w:tr>
      <w:tr>
        <w:tc>
          <w:tcPr>
            <w:tcW w:type="dxa" w:w="3744"/>
          </w:tcPr>
          <w:p>
            <w:r/>
            <w:r>
              <w:rPr>
                <w:b w:val="0"/>
                <w:sz w:val="19"/>
              </w:rPr>
              <w:t>54.5% over-refusal rate</w:t>
            </w:r>
          </w:p>
        </w:tc>
        <w:tc>
          <w:tcPr>
            <w:tcW w:type="dxa" w:w="6048"/>
          </w:tcPr>
          <w:p>
            <w:r/>
            <w:r>
              <w:rPr>
                <w:b/>
                <w:sz w:val="19"/>
              </w:rPr>
              <w:t>The measured cost axis — the entire point of the paper</w:t>
            </w:r>
          </w:p>
        </w:tc>
      </w:tr>
      <w:tr>
        <w:tc>
          <w:tcPr>
            <w:tcW w:type="dxa" w:w="3744"/>
          </w:tcPr>
          <w:p>
            <w:r/>
            <w:r>
              <w:rPr>
                <w:b w:val="0"/>
                <w:sz w:val="19"/>
              </w:rPr>
              <w:t>Statistically null hallucination result (p = 0.548)</w:t>
            </w:r>
          </w:p>
        </w:tc>
        <w:tc>
          <w:tcPr>
            <w:tcW w:type="dxa" w:w="6048"/>
          </w:tcPr>
          <w:p>
            <w:r/>
            <w:r>
              <w:rPr>
                <w:b w:val="0"/>
                <w:sz w:val="19"/>
              </w:rPr>
              <w:t>An honest finding that motivates measuring a frontier instead of claiming a point</w:t>
            </w:r>
          </w:p>
        </w:tc>
      </w:tr>
      <w:tr>
        <w:tc>
          <w:tcPr>
            <w:tcW w:type="dxa" w:w="3744"/>
          </w:tcPr>
          <w:p>
            <w:r/>
            <w:r>
              <w:rPr>
                <w:b w:val="0"/>
                <w:sz w:val="19"/>
              </w:rPr>
              <w:t>A commit that relaxed a safety guard and opened a hole</w:t>
            </w:r>
          </w:p>
        </w:tc>
        <w:tc>
          <w:tcPr>
            <w:tcW w:type="dxa" w:w="6048"/>
          </w:tcPr>
          <w:p>
            <w:r/>
            <w:r>
              <w:rPr>
                <w:b w:val="0"/>
                <w:sz w:val="19"/>
              </w:rPr>
              <w:t>A documented case study of a live system trading safety for access, badly</w:t>
            </w:r>
          </w:p>
        </w:tc>
      </w:tr>
    </w:tbl>
    <w:p>
      <w:pPr>
        <w:spacing w:after="80"/>
      </w:pPr>
    </w:p>
    <w:p>
      <w:pPr>
        <w:spacing w:after="80"/>
      </w:pPr>
      <w:r>
        <w:rPr>
          <w:b/>
          <w:i w:val="0"/>
        </w:rPr>
        <w:t>Timeline: 18 weeks. Cost: zero. Primary venue: JMIR, with AMIA and ML4H in parallel.</w:t>
      </w:r>
    </w:p>
    <w:p>
      <w:r>
        <w:br w:type="page"/>
      </w:r>
    </w:p>
    <w:p>
      <w:pPr>
        <w:pStyle w:val="Heading1"/>
      </w:pPr>
      <w:r>
        <w:t>1. What I actually ran, and what I found</w:t>
      </w:r>
    </w:p>
    <w:p>
      <w:pPr>
        <w:spacing w:after="200"/>
      </w:pPr>
      <w:r>
        <w:rPr>
          <w:b w:val="0"/>
          <w:i/>
        </w:rPr>
        <w:t>Everything below is measured on your machine on 17 September 2026 — not read from your documentation. Where your documentation and the live system disagree, the live system wins, and in two cases they disagree substantially.</w:t>
      </w:r>
    </w:p>
    <w:p>
      <w:pPr>
        <w:pStyle w:val="Heading2"/>
      </w:pPr>
      <w:r>
        <w:t>1.1 What works</w:t>
      </w:r>
    </w:p>
    <w:tbl>
      <w:tblPr>
        <w:tblStyle w:val="LightGrid-Accent1"/>
        <w:tblW w:type="auto" w:w="0"/>
        <w:jc w:val="center"/>
        <w:tblLook w:firstColumn="1" w:firstRow="1" w:lastColumn="0" w:lastRow="0" w:noHBand="0" w:noVBand="1" w:val="04A0"/>
      </w:tblPr>
      <w:tblGrid>
        <w:gridCol w:w="4896"/>
        <w:gridCol w:w="4896"/>
      </w:tblGrid>
      <w:tr>
        <w:tc>
          <w:tcPr>
            <w:tcW w:type="dxa" w:w="4176"/>
          </w:tcPr>
          <w:p>
            <w:r/>
            <w:r>
              <w:rPr>
                <w:b/>
                <w:sz w:val="19"/>
              </w:rPr>
              <w:t>Check</w:t>
            </w:r>
          </w:p>
        </w:tc>
        <w:tc>
          <w:tcPr>
            <w:tcW w:type="dxa" w:w="5616"/>
          </w:tcPr>
          <w:p>
            <w:r/>
            <w:r>
              <w:rPr>
                <w:b/>
                <w:sz w:val="19"/>
              </w:rPr>
              <w:t>Result</w:t>
            </w:r>
          </w:p>
        </w:tc>
      </w:tr>
      <w:tr>
        <w:tc>
          <w:tcPr>
            <w:tcW w:type="dxa" w:w="4176"/>
          </w:tcPr>
          <w:p>
            <w:r/>
            <w:r>
              <w:rPr>
                <w:b w:val="0"/>
                <w:sz w:val="19"/>
              </w:rPr>
              <w:t>Supabase corpus</w:t>
            </w:r>
          </w:p>
        </w:tc>
        <w:tc>
          <w:tcPr>
            <w:tcW w:type="dxa" w:w="5616"/>
          </w:tcPr>
          <w:p>
            <w:r/>
            <w:r>
              <w:rPr>
                <w:b/>
                <w:sz w:val="19"/>
              </w:rPr>
              <w:t>LIVE — 1,009 documents / 3,816 chunks</w:t>
            </w:r>
          </w:p>
        </w:tc>
      </w:tr>
      <w:tr>
        <w:tc>
          <w:tcPr>
            <w:tcW w:type="dxa" w:w="4176"/>
          </w:tcPr>
          <w:p>
            <w:r/>
            <w:r>
              <w:rPr>
                <w:b w:val="0"/>
                <w:sz w:val="19"/>
              </w:rPr>
              <w:t>ingest/manifest/</w:t>
            </w:r>
          </w:p>
        </w:tc>
        <w:tc>
          <w:tcPr>
            <w:tcW w:type="dxa" w:w="5616"/>
          </w:tcPr>
          <w:p>
            <w:r/>
            <w:r>
              <w:rPr>
                <w:b/>
                <w:sz w:val="19"/>
              </w:rPr>
              <w:t>RECOVERED — 7 manifests, 224 source URLs</w:t>
            </w:r>
          </w:p>
        </w:tc>
      </w:tr>
      <w:tr>
        <w:tc>
          <w:tcPr>
            <w:tcW w:type="dxa" w:w="4176"/>
          </w:tcPr>
          <w:p>
            <w:r/>
            <w:r>
              <w:rPr>
                <w:b w:val="0"/>
                <w:sz w:val="19"/>
              </w:rPr>
              <w:t>app/RAG.py imports, 16 routes mount</w:t>
            </w:r>
          </w:p>
        </w:tc>
        <w:tc>
          <w:tcPr>
            <w:tcW w:type="dxa" w:w="5616"/>
          </w:tcPr>
          <w:p>
            <w:r/>
            <w:r>
              <w:rPr>
                <w:b w:val="0"/>
                <w:sz w:val="19"/>
              </w:rPr>
              <w:t>Clean (~50 s cold start)</w:t>
            </w:r>
          </w:p>
        </w:tc>
      </w:tr>
      <w:tr>
        <w:tc>
          <w:tcPr>
            <w:tcW w:type="dxa" w:w="4176"/>
          </w:tcPr>
          <w:p>
            <w:r/>
            <w:r>
              <w:rPr>
                <w:b w:val="0"/>
                <w:sz w:val="19"/>
              </w:rPr>
              <w:t>Deterministic test suite (8 files)</w:t>
            </w:r>
          </w:p>
        </w:tc>
        <w:tc>
          <w:tcPr>
            <w:tcW w:type="dxa" w:w="5616"/>
          </w:tcPr>
          <w:p>
            <w:r/>
            <w:r>
              <w:rPr>
                <w:b/>
                <w:sz w:val="19"/>
              </w:rPr>
              <w:t>57 pass / 1 fail / 17 skipped</w:t>
            </w:r>
          </w:p>
        </w:tc>
      </w:tr>
      <w:tr>
        <w:tc>
          <w:tcPr>
            <w:tcW w:type="dxa" w:w="4176"/>
          </w:tcPr>
          <w:p>
            <w:r/>
            <w:r>
              <w:rPr>
                <w:b w:val="0"/>
                <w:sz w:val="19"/>
              </w:rPr>
              <w:t>Red-flag engine vs 131 gold rows</w:t>
            </w:r>
          </w:p>
        </w:tc>
        <w:tc>
          <w:tcPr>
            <w:tcW w:type="dxa" w:w="5616"/>
          </w:tcPr>
          <w:p>
            <w:r/>
            <w:r>
              <w:rPr>
                <w:b/>
                <w:sz w:val="19"/>
              </w:rPr>
              <w:t>73/73 sensitivity · 58/58 specificity · 0 false positives · 45/45 rules covered</w:t>
            </w:r>
          </w:p>
        </w:tc>
      </w:tr>
      <w:tr>
        <w:tc>
          <w:tcPr>
            <w:tcW w:type="dxa" w:w="4176"/>
          </w:tcPr>
          <w:p>
            <w:r/>
            <w:r>
              <w:rPr>
                <w:b w:val="0"/>
                <w:sz w:val="19"/>
              </w:rPr>
              <w:t>Cohere key + embed / rerank / command-r models</w:t>
            </w:r>
          </w:p>
        </w:tc>
        <w:tc>
          <w:tcPr>
            <w:tcW w:type="dxa" w:w="5616"/>
          </w:tcPr>
          <w:p>
            <w:r/>
            <w:r>
              <w:rPr>
                <w:b w:val="0"/>
                <w:sz w:val="19"/>
              </w:rPr>
              <w:t>All live</w:t>
            </w:r>
          </w:p>
        </w:tc>
      </w:tr>
      <w:tr>
        <w:tc>
          <w:tcPr>
            <w:tcW w:type="dxa" w:w="4176"/>
          </w:tcPr>
          <w:p>
            <w:r/>
            <w:r>
              <w:rPr>
                <w:b w:val="0"/>
                <w:sz w:val="19"/>
              </w:rPr>
              <w:t>Groq key</w:t>
            </w:r>
          </w:p>
        </w:tc>
        <w:tc>
          <w:tcPr>
            <w:tcW w:type="dxa" w:w="5616"/>
          </w:tcPr>
          <w:p>
            <w:r/>
            <w:r>
              <w:rPr>
                <w:b w:val="0"/>
                <w:sz w:val="19"/>
              </w:rPr>
              <w:t>Valid</w:t>
            </w:r>
          </w:p>
        </w:tc>
      </w:tr>
    </w:tbl>
    <w:p>
      <w:pPr>
        <w:spacing w:after="80"/>
      </w:pPr>
    </w:p>
    <w:p>
      <w:pPr>
        <w:spacing w:after="200"/>
      </w:pPr>
      <w:r>
        <w:rPr>
          <w:b w:val="0"/>
          <w:i w:val="0"/>
        </w:rPr>
        <w:t>The red-flag result is the one number in this project that reproduces cleanly today — offline, in about four seconds, with no API keys at all. That is a real asset.</w:t>
      </w:r>
    </w:p>
    <w:p>
      <w:pPr>
        <w:pStyle w:val="Heading2"/>
      </w:pPr>
      <w:r>
        <w:t>1.2 Two things your own documentation gets wrong</w:t>
      </w:r>
    </w:p>
    <w:p>
      <w:pPr>
        <w:spacing w:after="120"/>
      </w:pPr>
      <w:r>
        <w:rPr>
          <w:b/>
          <w:i w:val="0"/>
          <w:color w:val="1B6B3A"/>
        </w:rPr>
        <w:t xml:space="preserve">Your corpus is eight times bigger than you think. </w:t>
      </w:r>
      <w:r>
        <w:rPr>
          <w:b w:val="0"/>
          <w:i w:val="0"/>
        </w:rPr>
        <w:t>Both docs/DOCUMED.md and your corpus audit say 131 documents. The live database has 1,009 documents and 3,816 chunks.</w:t>
      </w:r>
    </w:p>
    <w:p>
      <w:pPr>
        <w:spacing w:after="120"/>
      </w:pPr>
      <w:r>
        <w:rPr>
          <w:b/>
          <w:i w:val="0"/>
          <w:color w:val="1B6B3A"/>
        </w:rPr>
        <w:t xml:space="preserve">That fixed a problem you had written off. </w:t>
      </w:r>
      <w:r>
        <w:rPr>
          <w:b w:val="0"/>
          <w:i w:val="0"/>
        </w:rPr>
        <w:t>You had concluded that 78.6% of your gold rows could never be scored for retrieval recall, because no corpus document was close enough to grade against. Re-running that audit against the live corpus:</w:t>
      </w:r>
    </w:p>
    <w:tbl>
      <w:tblPr>
        <w:tblStyle w:val="LightGrid-Accent1"/>
        <w:tblW w:type="auto" w:w="0"/>
        <w:jc w:val="center"/>
        <w:tblLook w:firstColumn="1" w:firstRow="1" w:lastColumn="0" w:lastRow="0" w:noHBand="0" w:noVBand="1" w:val="04A0"/>
      </w:tblPr>
      <w:tblGrid>
        <w:gridCol w:w="3264"/>
        <w:gridCol w:w="3264"/>
        <w:gridCol w:w="3264"/>
      </w:tblGrid>
      <w:tr>
        <w:tc>
          <w:tcPr>
            <w:tcW w:type="dxa" w:w="3456"/>
          </w:tcPr>
          <w:p>
            <w:r/>
            <w:r>
              <w:rPr>
                <w:b/>
                <w:sz w:val="19"/>
              </w:rPr>
              <w:t>Stage</w:t>
            </w:r>
          </w:p>
        </w:tc>
        <w:tc>
          <w:tcPr>
            <w:tcW w:type="dxa" w:w="3168"/>
          </w:tcPr>
          <w:p>
            <w:r/>
            <w:r>
              <w:rPr>
                <w:b/>
                <w:sz w:val="19"/>
              </w:rPr>
              <w:t>Gradable now</w:t>
            </w:r>
          </w:p>
        </w:tc>
        <w:tc>
          <w:tcPr>
            <w:tcW w:type="dxa" w:w="3168"/>
          </w:tcPr>
          <w:p>
            <w:r/>
            <w:r>
              <w:rPr>
                <w:b/>
                <w:sz w:val="19"/>
              </w:rPr>
              <w:t>Was</w:t>
            </w:r>
          </w:p>
        </w:tc>
      </w:tr>
      <w:tr>
        <w:tc>
          <w:tcPr>
            <w:tcW w:type="dxa" w:w="3456"/>
          </w:tcPr>
          <w:p>
            <w:r/>
            <w:r>
              <w:rPr>
                <w:b w:val="0"/>
                <w:sz w:val="19"/>
              </w:rPr>
              <w:t>navigation</w:t>
            </w:r>
          </w:p>
        </w:tc>
        <w:tc>
          <w:tcPr>
            <w:tcW w:type="dxa" w:w="3168"/>
          </w:tcPr>
          <w:p>
            <w:r/>
            <w:r>
              <w:rPr>
                <w:b w:val="0"/>
                <w:sz w:val="19"/>
              </w:rPr>
              <w:t>53.3%</w:t>
            </w:r>
          </w:p>
        </w:tc>
        <w:tc>
          <w:tcPr>
            <w:tcW w:type="dxa" w:w="3168"/>
          </w:tcPr>
          <w:p>
            <w:r/>
            <w:r>
              <w:rPr>
                <w:b w:val="0"/>
                <w:sz w:val="19"/>
              </w:rPr>
              <w:t>19.0%</w:t>
            </w:r>
          </w:p>
        </w:tc>
      </w:tr>
      <w:tr>
        <w:tc>
          <w:tcPr>
            <w:tcW w:type="dxa" w:w="3456"/>
          </w:tcPr>
          <w:p>
            <w:r/>
            <w:r>
              <w:rPr>
                <w:b w:val="0"/>
                <w:sz w:val="19"/>
              </w:rPr>
              <w:t>condition</w:t>
            </w:r>
          </w:p>
        </w:tc>
        <w:tc>
          <w:tcPr>
            <w:tcW w:type="dxa" w:w="3168"/>
          </w:tcPr>
          <w:p>
            <w:r/>
            <w:r>
              <w:rPr>
                <w:b w:val="0"/>
                <w:sz w:val="19"/>
              </w:rPr>
              <w:t>53.3%</w:t>
            </w:r>
          </w:p>
        </w:tc>
        <w:tc>
          <w:tcPr>
            <w:tcW w:type="dxa" w:w="3168"/>
          </w:tcPr>
          <w:p>
            <w:r/>
            <w:r>
              <w:rPr>
                <w:b w:val="0"/>
                <w:sz w:val="19"/>
              </w:rPr>
              <w:t>24.7%</w:t>
            </w:r>
          </w:p>
        </w:tc>
      </w:tr>
      <w:tr>
        <w:tc>
          <w:tcPr>
            <w:tcW w:type="dxa" w:w="3456"/>
          </w:tcPr>
          <w:p>
            <w:r/>
            <w:r>
              <w:rPr>
                <w:b w:val="0"/>
                <w:sz w:val="19"/>
              </w:rPr>
              <w:t>visit_prep</w:t>
            </w:r>
          </w:p>
        </w:tc>
        <w:tc>
          <w:tcPr>
            <w:tcW w:type="dxa" w:w="3168"/>
          </w:tcPr>
          <w:p>
            <w:r/>
            <w:r>
              <w:rPr>
                <w:b w:val="0"/>
                <w:sz w:val="19"/>
              </w:rPr>
              <w:t>53.3%</w:t>
            </w:r>
          </w:p>
        </w:tc>
        <w:tc>
          <w:tcPr>
            <w:tcW w:type="dxa" w:w="3168"/>
          </w:tcPr>
          <w:p>
            <w:r/>
            <w:r>
              <w:rPr>
                <w:b w:val="0"/>
                <w:sz w:val="19"/>
              </w:rPr>
              <w:t>16.7%</w:t>
            </w:r>
          </w:p>
        </w:tc>
      </w:tr>
      <w:tr>
        <w:tc>
          <w:tcPr>
            <w:tcW w:type="dxa" w:w="3456"/>
          </w:tcPr>
          <w:p>
            <w:r/>
            <w:r>
              <w:rPr>
                <w:b w:val="0"/>
                <w:sz w:val="19"/>
              </w:rPr>
              <w:t>results</w:t>
            </w:r>
          </w:p>
        </w:tc>
        <w:tc>
          <w:tcPr>
            <w:tcW w:type="dxa" w:w="3168"/>
          </w:tcPr>
          <w:p>
            <w:r/>
            <w:r>
              <w:rPr>
                <w:b w:val="0"/>
                <w:sz w:val="19"/>
              </w:rPr>
              <w:t>63.6%</w:t>
            </w:r>
          </w:p>
        </w:tc>
        <w:tc>
          <w:tcPr>
            <w:tcW w:type="dxa" w:w="3168"/>
          </w:tcPr>
          <w:p>
            <w:r/>
            <w:r>
              <w:rPr>
                <w:b w:val="0"/>
                <w:sz w:val="19"/>
              </w:rPr>
              <w:t>31.9%</w:t>
            </w:r>
          </w:p>
        </w:tc>
      </w:tr>
      <w:tr>
        <w:tc>
          <w:tcPr>
            <w:tcW w:type="dxa" w:w="3456"/>
          </w:tcPr>
          <w:p>
            <w:r/>
            <w:r>
              <w:rPr>
                <w:b w:val="0"/>
                <w:sz w:val="19"/>
              </w:rPr>
              <w:t>intake</w:t>
            </w:r>
          </w:p>
        </w:tc>
        <w:tc>
          <w:tcPr>
            <w:tcW w:type="dxa" w:w="3168"/>
          </w:tcPr>
          <w:p>
            <w:r/>
            <w:r>
              <w:rPr>
                <w:b w:val="0"/>
                <w:sz w:val="19"/>
              </w:rPr>
              <w:t>50.0%</w:t>
            </w:r>
          </w:p>
        </w:tc>
        <w:tc>
          <w:tcPr>
            <w:tcW w:type="dxa" w:w="3168"/>
          </w:tcPr>
          <w:p>
            <w:r/>
            <w:r>
              <w:rPr>
                <w:b w:val="0"/>
                <w:sz w:val="19"/>
              </w:rPr>
              <w:t>12.3%</w:t>
            </w:r>
          </w:p>
        </w:tc>
      </w:tr>
      <w:tr>
        <w:tc>
          <w:tcPr>
            <w:tcW w:type="dxa" w:w="3456"/>
          </w:tcPr>
          <w:p>
            <w:r/>
            <w:r>
              <w:rPr>
                <w:b w:val="0"/>
                <w:sz w:val="19"/>
              </w:rPr>
              <w:t>navigation_stage2</w:t>
            </w:r>
          </w:p>
        </w:tc>
        <w:tc>
          <w:tcPr>
            <w:tcW w:type="dxa" w:w="3168"/>
          </w:tcPr>
          <w:p>
            <w:r/>
            <w:r>
              <w:rPr>
                <w:b w:val="0"/>
                <w:sz w:val="19"/>
              </w:rPr>
              <w:t>41.7%</w:t>
            </w:r>
          </w:p>
        </w:tc>
        <w:tc>
          <w:tcPr>
            <w:tcW w:type="dxa" w:w="3168"/>
          </w:tcPr>
          <w:p>
            <w:r/>
            <w:r>
              <w:rPr>
                <w:b w:val="0"/>
                <w:sz w:val="19"/>
              </w:rPr>
              <w:t>33.3%</w:t>
            </w:r>
          </w:p>
        </w:tc>
      </w:tr>
      <w:tr>
        <w:tc>
          <w:tcPr>
            <w:tcW w:type="dxa" w:w="3456"/>
          </w:tcPr>
          <w:p>
            <w:r/>
            <w:r>
              <w:rPr>
                <w:b/>
                <w:sz w:val="19"/>
              </w:rPr>
              <w:t>TOTAL</w:t>
            </w:r>
          </w:p>
        </w:tc>
        <w:tc>
          <w:tcPr>
            <w:tcW w:type="dxa" w:w="3168"/>
          </w:tcPr>
          <w:p>
            <w:r/>
            <w:r>
              <w:rPr>
                <w:b/>
                <w:sz w:val="19"/>
              </w:rPr>
              <w:t>51.2%</w:t>
            </w:r>
          </w:p>
        </w:tc>
        <w:tc>
          <w:tcPr>
            <w:tcW w:type="dxa" w:w="3168"/>
          </w:tcPr>
          <w:p>
            <w:r/>
            <w:r>
              <w:rPr>
                <w:b/>
                <w:sz w:val="19"/>
              </w:rPr>
              <w:t>21.4%</w:t>
            </w:r>
          </w:p>
        </w:tc>
      </w:tr>
    </w:tbl>
    <w:p>
      <w:pPr>
        <w:spacing w:after="80"/>
      </w:pPr>
    </w:p>
    <w:p>
      <w:pPr>
        <w:spacing w:after="200"/>
      </w:pPr>
      <w:r>
        <w:rPr>
          <w:b w:val="0"/>
          <w:i/>
          <w:sz w:val="19"/>
        </w:rPr>
        <w:t>Retrieval recall goes back on the table as a reportable metric instead of being abandoned. (This replicates the original method but not its exact denominator, so re-run your own audit script for the citable figure — the direction is not in doubt.)</w:t>
      </w:r>
    </w:p>
    <w:p>
      <w:pPr>
        <w:pStyle w:val="Heading2"/>
      </w:pPr>
      <w:r>
        <w:t>1.3 The problems that block a paper</w:t>
      </w:r>
    </w:p>
    <w:p>
      <w:pPr>
        <w:spacing w:after="120"/>
      </w:pPr>
      <w:r>
        <w:rPr>
          <w:b/>
          <w:i w:val="0"/>
          <w:color w:val="A31D1D"/>
        </w:rPr>
        <w:t xml:space="preserve">F3 — Your generator model no longer exists. </w:t>
      </w:r>
      <w:r>
        <w:rPr>
          <w:b w:val="0"/>
          <w:i w:val="0"/>
        </w:rPr>
        <w:t xml:space="preserve">app/RAG.py line 150 requests llama-3.3-70b-versatile. Groq returns 404 model_not_found. It has been decommissioned. Groq now serves gpt-oss-120b, gpt-oss-20b and qwen3.8-27b instead. </w:t>
      </w:r>
      <w:r>
        <w:rPr>
          <w:b/>
          <w:i w:val="0"/>
        </w:rPr>
        <w:t>Every number in your repository came from a model you can no longer call, so all results must be regenerated regardless of any other decision.</w:t>
      </w:r>
    </w:p>
    <w:p>
      <w:pPr>
        <w:spacing w:after="120"/>
      </w:pPr>
      <w:r>
        <w:rPr>
          <w:b/>
          <w:i w:val="0"/>
          <w:color w:val="A31D1D"/>
        </w:rPr>
        <w:t xml:space="preserve">F4 — There is a live safety hole in your scope guard. </w:t>
      </w:r>
      <w:r>
        <w:rPr>
          <w:b w:val="0"/>
          <w:i w:val="0"/>
        </w:rPr>
        <w:t>This is the most urgent finding in this document. Your policy filter classifies the bluntest and most dangerous form of diagnosis as safe:</w:t>
      </w:r>
    </w:p>
    <w:p>
      <w:pPr>
        <w:spacing w:before="80" w:after="160"/>
        <w:ind w:left="360"/>
        <w:shd w:val="clear" w:fill="F4F6F8"/>
      </w:pPr>
      <w:r>
        <w:rPr>
          <w:rFonts w:ascii="Consolas" w:hAnsi="Consolas"/>
          <w:sz w:val="18"/>
        </w:rPr>
        <w:t>'safe'        &lt;- "You have type 2 diabetes."</w:t>
        <w:br/>
        <w:t>'safe'        &lt;- "You have asthma."</w:t>
        <w:br/>
        <w:t>'safe'        &lt;- "You likely have anemia."</w:t>
        <w:br/>
        <w:t>'diagnostic'  &lt;- "This sounds like asthma, but see a doctor."</w:t>
        <w:br/>
        <w:t>'diagnostic'  &lt;- "Most likely you have hypertension."</w:t>
      </w:r>
    </w:p>
    <w:p>
      <w:pPr>
        <w:spacing w:after="160"/>
      </w:pPr>
      <w:r>
        <w:rPr>
          <w:b w:val="0"/>
          <w:i w:val="0"/>
        </w:rPr>
        <w:t>Only hedged phrasings are caught. A flat assertion — "You have X" — walks straight through. Your own test (eval/test_scope_guard.py line 56) says this should be caught, so that test has been failing against committed code, and because CI runs that file, main has been red. Tracing it with git shows the cause: commit b13bd83 ("hallucination-zero sprint … scope-guard relax") loosened the guard to reduce over-refusal, and this hole was the price.</w:t>
      </w:r>
    </w:p>
    <w:p>
      <w:pPr>
        <w:spacing w:after="40"/>
        <w:ind w:left="173"/>
        <w:shd w:val="clear" w:fill="FDECEC"/>
      </w:pPr>
      <w:r>
        <w:rPr>
          <w:b/>
          <w:sz w:val="21"/>
        </w:rPr>
        <w:t>Why this matters twice over</w:t>
      </w:r>
    </w:p>
    <w:p>
      <w:pPr>
        <w:spacing w:after="200"/>
        <w:ind w:left="173"/>
        <w:shd w:val="clear" w:fill="FDECEC"/>
      </w:pPr>
      <w:r>
        <w:rPr>
          <w:sz w:val="20"/>
        </w:rPr>
        <w:t>It is a real safety bug in a deployed system and should be fixed this week. It is also the single best piece of evidence for your paper's thesis: here is a live system trading safety away to buy back access, with the exact commit, date and consequence on record. Capture the broken behaviour as evidence before fixing it.</w:t>
      </w:r>
    </w:p>
    <w:p>
      <w:pPr>
        <w:spacing w:after="120"/>
      </w:pPr>
      <w:r>
        <w:rPr>
          <w:b/>
          <w:i w:val="0"/>
          <w:color w:val="A31D1D"/>
        </w:rPr>
        <w:t xml:space="preserve">F5 — Your headline result is statistically null. </w:t>
      </w:r>
      <w:r>
        <w:rPr>
          <w:b w:val="0"/>
          <w:i w:val="0"/>
        </w:rPr>
        <w:t>Re-analysing eval/baselines/hallucination_compare.json:</w:t>
      </w:r>
    </w:p>
    <w:p>
      <w:pPr>
        <w:spacing w:before="80" w:after="160"/>
        <w:ind w:left="360"/>
        <w:shd w:val="clear" w:fill="F4F6F8"/>
      </w:pPr>
      <w:r>
        <w:rPr>
          <w:rFonts w:ascii="Consolas" w:hAnsi="Consolas"/>
          <w:sz w:val="18"/>
        </w:rPr>
        <w:t>vanilla : 17/18 claim sentences unsupported = 94.4%</w:t>
        <w:br/>
        <w:t>MediRAG : 10/12 claim sentences unsupported = 83.3%</w:t>
        <w:br/>
        <w:t>absolute reduction .................. 11.1 percentage points</w:t>
        <w:br/>
        <w:t>Fisher exact, two-sided ............. p = 0.548</w:t>
      </w:r>
    </w:p>
    <w:p>
      <w:pPr>
        <w:spacing w:after="80"/>
      </w:pPr>
      <w:r>
        <w:rPr>
          <w:b w:val="0"/>
          <w:i w:val="0"/>
        </w:rPr>
        <w:t>In plain terms: that result is indistinguishable from random chance. Three further problems compound it:</w:t>
      </w:r>
    </w:p>
    <w:p>
      <w:pPr>
        <w:pStyle w:val="ListBullet"/>
        <w:spacing w:after="60"/>
      </w:pPr>
      <w:r>
        <w:t>The reported "38% reduction" (144.07 → 89.29 per 1000) divides claim-sentence failures by total sentences. The improvement comes from the system emitting six fewer claim sentences, not from better grounding.</w:t>
      </w:r>
    </w:p>
    <w:p>
      <w:pPr>
        <w:pStyle w:val="ListBullet"/>
        <w:spacing w:after="60"/>
      </w:pPr>
      <w:r>
        <w:t>The run stopped at 10 of 20 planned cases — quota_exhausted: true.</w:t>
      </w:r>
    </w:p>
    <w:p>
      <w:pPr>
        <w:pStyle w:val="ListBullet"/>
        <w:spacing w:after="60"/>
      </w:pPr>
      <w:r>
        <w:t>The judge is cross-encoder/nli-deberta-v3-base, which is the same model your guardrail uses to filter. You are grading the exam you wrote the answers to.</w:t>
      </w:r>
    </w:p>
    <w:p>
      <w:pPr>
        <w:spacing w:after="80"/>
      </w:pPr>
    </w:p>
    <w:p>
      <w:pPr>
        <w:spacing w:after="120"/>
      </w:pPr>
      <w:r>
        <w:rPr>
          <w:b/>
          <w:i w:val="0"/>
          <w:color w:val="A31D1D"/>
        </w:rPr>
        <w:t xml:space="preserve">F8 — Your corpus is not Nepal-grounded, and a reviewer will check. </w:t>
      </w:r>
      <w:r>
        <w:rPr>
          <w:b w:val="0"/>
          <w:i w:val="0"/>
        </w:rPr>
        <w:t>This is new and your August plan never caught it.</w:t>
      </w:r>
    </w:p>
    <w:tbl>
      <w:tblPr>
        <w:tblStyle w:val="LightGrid-Accent1"/>
        <w:tblW w:type="auto" w:w="0"/>
        <w:jc w:val="center"/>
        <w:tblLook w:firstColumn="1" w:firstRow="1" w:lastColumn="0" w:lastRow="0" w:noHBand="0" w:noVBand="1" w:val="04A0"/>
      </w:tblPr>
      <w:tblGrid>
        <w:gridCol w:w="3264"/>
        <w:gridCol w:w="3264"/>
        <w:gridCol w:w="3264"/>
      </w:tblGrid>
      <w:tr>
        <w:tc>
          <w:tcPr>
            <w:tcW w:type="dxa" w:w="5184"/>
          </w:tcPr>
          <w:p>
            <w:r/>
            <w:r>
              <w:rPr>
                <w:b/>
                <w:sz w:val="19"/>
              </w:rPr>
              <w:t>Source</w:t>
            </w:r>
          </w:p>
        </w:tc>
        <w:tc>
          <w:tcPr>
            <w:tcW w:type="dxa" w:w="2304"/>
          </w:tcPr>
          <w:p>
            <w:r/>
            <w:r>
              <w:rPr>
                <w:b/>
                <w:sz w:val="19"/>
              </w:rPr>
              <w:t>Documents</w:t>
            </w:r>
          </w:p>
        </w:tc>
        <w:tc>
          <w:tcPr>
            <w:tcW w:type="dxa" w:w="2304"/>
          </w:tcPr>
          <w:p>
            <w:r/>
            <w:r>
              <w:rPr>
                <w:b/>
                <w:sz w:val="19"/>
              </w:rPr>
              <w:t>Share</w:t>
            </w:r>
          </w:p>
        </w:tc>
      </w:tr>
      <w:tr>
        <w:tc>
          <w:tcPr>
            <w:tcW w:type="dxa" w:w="5184"/>
          </w:tcPr>
          <w:p>
            <w:r/>
            <w:r>
              <w:rPr>
                <w:b/>
                <w:sz w:val="19"/>
              </w:rPr>
              <w:t>MedlinePlus (US consumer health)</w:t>
            </w:r>
          </w:p>
        </w:tc>
        <w:tc>
          <w:tcPr>
            <w:tcW w:type="dxa" w:w="2304"/>
          </w:tcPr>
          <w:p>
            <w:r/>
            <w:r>
              <w:rPr>
                <w:b/>
                <w:sz w:val="19"/>
              </w:rPr>
              <w:t>826</w:t>
            </w:r>
          </w:p>
        </w:tc>
        <w:tc>
          <w:tcPr>
            <w:tcW w:type="dxa" w:w="2304"/>
          </w:tcPr>
          <w:p>
            <w:r/>
            <w:r>
              <w:rPr>
                <w:b/>
                <w:sz w:val="19"/>
              </w:rPr>
              <w:t>82%</w:t>
            </w:r>
          </w:p>
        </w:tc>
      </w:tr>
      <w:tr>
        <w:tc>
          <w:tcPr>
            <w:tcW w:type="dxa" w:w="5184"/>
          </w:tcPr>
          <w:p>
            <w:r/>
            <w:r>
              <w:rPr>
                <w:b w:val="0"/>
                <w:sz w:val="19"/>
              </w:rPr>
              <w:t>NHS</w:t>
            </w:r>
          </w:p>
        </w:tc>
        <w:tc>
          <w:tcPr>
            <w:tcW w:type="dxa" w:w="2304"/>
          </w:tcPr>
          <w:p>
            <w:r/>
            <w:r>
              <w:rPr>
                <w:b w:val="0"/>
                <w:sz w:val="19"/>
              </w:rPr>
              <w:t>73</w:t>
            </w:r>
          </w:p>
        </w:tc>
        <w:tc>
          <w:tcPr>
            <w:tcW w:type="dxa" w:w="2304"/>
          </w:tcPr>
          <w:p>
            <w:r/>
            <w:r>
              <w:rPr>
                <w:b w:val="0"/>
                <w:sz w:val="19"/>
              </w:rPr>
              <w:t>7%</w:t>
            </w:r>
          </w:p>
        </w:tc>
      </w:tr>
      <w:tr>
        <w:tc>
          <w:tcPr>
            <w:tcW w:type="dxa" w:w="5184"/>
          </w:tcPr>
          <w:p>
            <w:r/>
            <w:r>
              <w:rPr>
                <w:b w:val="0"/>
                <w:sz w:val="19"/>
              </w:rPr>
              <w:t>WHO</w:t>
            </w:r>
          </w:p>
        </w:tc>
        <w:tc>
          <w:tcPr>
            <w:tcW w:type="dxa" w:w="2304"/>
          </w:tcPr>
          <w:p>
            <w:r/>
            <w:r>
              <w:rPr>
                <w:b w:val="0"/>
                <w:sz w:val="19"/>
              </w:rPr>
              <w:t>45</w:t>
            </w:r>
          </w:p>
        </w:tc>
        <w:tc>
          <w:tcPr>
            <w:tcW w:type="dxa" w:w="2304"/>
          </w:tcPr>
          <w:p>
            <w:r/>
            <w:r>
              <w:rPr>
                <w:b w:val="0"/>
                <w:sz w:val="19"/>
              </w:rPr>
              <w:t>4%</w:t>
            </w:r>
          </w:p>
        </w:tc>
      </w:tr>
      <w:tr>
        <w:tc>
          <w:tcPr>
            <w:tcW w:type="dxa" w:w="5184"/>
          </w:tcPr>
          <w:p>
            <w:r/>
            <w:r>
              <w:rPr>
                <w:b w:val="0"/>
                <w:sz w:val="19"/>
              </w:rPr>
              <w:t>EDCD, MoHP, WHO Nepal, NPHL, BPKIHS, CSH, DDA, Bir</w:t>
            </w:r>
          </w:p>
        </w:tc>
        <w:tc>
          <w:tcPr>
            <w:tcW w:type="dxa" w:w="2304"/>
          </w:tcPr>
          <w:p>
            <w:r/>
            <w:r>
              <w:rPr>
                <w:b w:val="0"/>
                <w:sz w:val="19"/>
              </w:rPr>
              <w:t>57 total</w:t>
            </w:r>
          </w:p>
        </w:tc>
        <w:tc>
          <w:tcPr>
            <w:tcW w:type="dxa" w:w="2304"/>
          </w:tcPr>
          <w:p>
            <w:r/>
            <w:r>
              <w:rPr>
                <w:b w:val="0"/>
                <w:sz w:val="19"/>
              </w:rPr>
              <w:t>5.6%</w:t>
            </w:r>
          </w:p>
        </w:tc>
      </w:tr>
      <w:tr>
        <w:tc>
          <w:tcPr>
            <w:tcW w:type="dxa" w:w="5184"/>
          </w:tcPr>
          <w:p>
            <w:r/>
            <w:r>
              <w:rPr>
                <w:b w:val="0"/>
                <w:sz w:val="19"/>
              </w:rPr>
              <w:t>Testing.com</w:t>
            </w:r>
          </w:p>
        </w:tc>
        <w:tc>
          <w:tcPr>
            <w:tcW w:type="dxa" w:w="2304"/>
          </w:tcPr>
          <w:p>
            <w:r/>
            <w:r>
              <w:rPr>
                <w:b w:val="0"/>
                <w:sz w:val="19"/>
              </w:rPr>
              <w:t>9</w:t>
            </w:r>
          </w:p>
        </w:tc>
        <w:tc>
          <w:tcPr>
            <w:tcW w:type="dxa" w:w="2304"/>
          </w:tcPr>
          <w:p>
            <w:r/>
            <w:r>
              <w:rPr>
                <w:b w:val="0"/>
                <w:sz w:val="19"/>
              </w:rPr>
              <w:t>1%</w:t>
            </w:r>
          </w:p>
        </w:tc>
      </w:tr>
    </w:tbl>
    <w:p>
      <w:pPr>
        <w:spacing w:after="80"/>
      </w:pPr>
    </w:p>
    <w:p>
      <w:pPr>
        <w:spacing w:after="160"/>
      </w:pPr>
      <w:r>
        <w:rPr>
          <w:b w:val="0"/>
          <w:i w:val="0"/>
        </w:rPr>
        <w:t>You cannot claim a "Nepal-grounded corpus" — that is one database query away from being disproved. Your Nepal contribution is real, but it lives in the routing layer: nepal_care_tiers.yaml (7 tiers), redflag_rules.yaml (45 rules), and the EDCD/MoHP/WHO-Nepal document subset. State the composition in Table 1 of the paper and frame it precisely. Never let a reviewer discover this for you.</w:t>
      </w:r>
    </w:p>
    <w:p>
      <w:pPr>
        <w:spacing w:after="80"/>
      </w:pPr>
      <w:r>
        <w:rPr>
          <w:b w:val="0"/>
          <w:i w:val="0"/>
        </w:rPr>
        <w:t>Also outstanding: over-refusal is 54.5% (F6); stages 3 and 5 are unimplemented, so 88 of your 329 gold rows have no code to grade (F9); and five API keys sit in plaintext comments in .env — never committed, but rotate them anyway.</w:t>
      </w:r>
    </w:p>
    <w:p>
      <w:r>
        <w:br w:type="page"/>
      </w:r>
    </w:p>
    <w:p>
      <w:pPr>
        <w:pStyle w:val="Heading1"/>
      </w:pPr>
      <w:r>
        <w:t>2. The paper</w:t>
      </w:r>
    </w:p>
    <w:p>
      <w:pPr>
        <w:pStyle w:val="Heading2"/>
      </w:pPr>
      <w:r>
        <w:t>2.1 The novel measurement — why this is publishable</w:t>
      </w:r>
    </w:p>
    <w:p>
      <w:pPr>
        <w:spacing w:after="120"/>
      </w:pPr>
      <w:r>
        <w:rPr>
          <w:b w:val="0"/>
          <w:i w:val="0"/>
        </w:rPr>
        <w:t>Every comparable system — FActScore, SelfCheckGPT, ALCE, RARR, Self-RAG, CRAG — validates hallucination detection against human labels. None of them validates refusal against anything. Abstention gets reported as a raw rate, with no ground truth for whether any individual refusal was actually justified.</w:t>
      </w:r>
    </w:p>
    <w:p>
      <w:pPr>
        <w:spacing w:after="40"/>
        <w:ind w:left="173"/>
        <w:shd w:val="clear" w:fill="E8F1F8"/>
      </w:pPr>
      <w:r>
        <w:rPr>
          <w:b/>
          <w:sz w:val="21"/>
        </w:rPr>
        <w:t>The gap you can fill</w:t>
      </w:r>
    </w:p>
    <w:p>
      <w:pPr>
        <w:spacing w:after="200"/>
        <w:ind w:left="173"/>
        <w:shd w:val="clear" w:fill="E8F1F8"/>
      </w:pPr>
      <w:r>
        <w:rPr>
          <w:sz w:val="20"/>
        </w:rPr>
        <w:t>With clinician annotators, you can produce a clinician-adjudicated over-refusal rate: for every refusal the system makes, did a qualified clinician judge that a safe and useful answer was in fact available? Nobody reports this. It is a genuinely novel axis, and it is the y-axis of your central figure.</w:t>
      </w:r>
    </w:p>
    <w:p>
      <w:pPr>
        <w:pStyle w:val="Heading2"/>
      </w:pPr>
      <w:r>
        <w:t>2.2 Contributions, in order of strength</w:t>
      </w:r>
    </w:p>
    <w:p>
      <w:pPr>
        <w:pStyle w:val="ListNumber"/>
        <w:spacing w:after="60"/>
      </w:pPr>
      <w:r>
        <w:rPr>
          <w:b/>
        </w:rPr>
        <w:t xml:space="preserve">Clinician-adjudicated safety–access frontier </w:t>
      </w:r>
      <w:r>
        <w:t>for a deployed system, threshold-swept, with your shipped operating point marked. This is the novel measurement.</w:t>
      </w:r>
    </w:p>
    <w:p>
      <w:pPr>
        <w:pStyle w:val="ListNumber"/>
        <w:spacing w:after="60"/>
      </w:pPr>
      <w:r>
        <w:rPr>
          <w:b/>
        </w:rPr>
        <w:t xml:space="preserve">Streaming-safe sentence-level guardrailing — </w:t>
      </w:r>
      <w:r>
        <w:t>faithfulness filtering under token streaming, where you may never display text you later retract. Batch-mode prior work does not address this at all. (guardrails.py:681)</w:t>
      </w:r>
    </w:p>
    <w:p>
      <w:pPr>
        <w:pStyle w:val="ListNumber"/>
        <w:spacing w:after="60"/>
      </w:pPr>
      <w:r>
        <w:rPr>
          <w:b/>
        </w:rPr>
        <w:t xml:space="preserve">Deterministic pre-LLM emergency triage, </w:t>
      </w:r>
      <w:r>
        <w:t>validated on a held-out set written by a clinician who has not seen your rules. The LLM is never in the emergency path — that is a real architectural claim.</w:t>
      </w:r>
    </w:p>
    <w:p>
      <w:pPr>
        <w:pStyle w:val="ListNumber"/>
        <w:spacing w:after="60"/>
      </w:pPr>
      <w:r>
        <w:rPr>
          <w:b/>
        </w:rPr>
        <w:t xml:space="preserve">Citation binding as enforcement, not measurement — </w:t>
      </w:r>
      <w:r>
        <w:t>ALCE and Liu et al. measure attribution after the fact; you enforce it at generation time by restricting the entailment premise to cited chunks. (guardrails.py:279)</w:t>
      </w:r>
    </w:p>
    <w:p>
      <w:pPr>
        <w:pStyle w:val="ListNumber"/>
        <w:spacing w:after="60"/>
      </w:pPr>
      <w:r>
        <w:rPr>
          <w:b/>
        </w:rPr>
        <w:t xml:space="preserve">Nepal care-tier routing and an adversarial safety benchmark, </w:t>
      </w:r>
      <w:r>
        <w:t>framed as a routing-layer contribution, not a corpus claim.</w:t>
      </w:r>
    </w:p>
    <w:p>
      <w:pPr>
        <w:pStyle w:val="Heading2"/>
      </w:pPr>
      <w:r>
        <w:t>2.3 What to cut, deliberately</w:t>
      </w:r>
    </w:p>
    <w:p>
      <w:pPr>
        <w:pStyle w:val="ListBullet"/>
        <w:spacing w:after="60"/>
      </w:pPr>
      <w:r>
        <w:t>Do not build stages 3 and 5. Cut them from the architecture claim and drop those 88 gold rows. This is product work with zero paper value.</w:t>
      </w:r>
    </w:p>
    <w:p>
      <w:pPr>
        <w:pStyle w:val="ListBullet"/>
        <w:spacing w:after="60"/>
      </w:pPr>
      <w:r>
        <w:t>Do not use MIRAGE, MedQA or MedMCQA. They are exam-style multiple choice; your system deliberately refuses diagnostic reasoning and would score near zero for entirely correct reasons. Say this explicitly — it makes a good limitations paragraph.</w:t>
      </w:r>
    </w:p>
    <w:p>
      <w:pPr>
        <w:pStyle w:val="ListBullet"/>
        <w:spacing w:after="60"/>
      </w:pPr>
      <w:r>
        <w:t>Do not claim a Nepal-grounded corpus (see F8).</w:t>
      </w:r>
    </w:p>
    <w:p>
      <w:pPr>
        <w:pStyle w:val="Heading2"/>
      </w:pPr>
      <w:r>
        <w:t>2.4 Where to send it</w:t>
      </w:r>
    </w:p>
    <w:tbl>
      <w:tblPr>
        <w:tblStyle w:val="LightGrid-Accent1"/>
        <w:tblW w:type="auto" w:w="0"/>
        <w:jc w:val="center"/>
        <w:tblLook w:firstColumn="1" w:firstRow="1" w:lastColumn="0" w:lastRow="0" w:noHBand="0" w:noVBand="1" w:val="04A0"/>
      </w:tblPr>
      <w:tblGrid>
        <w:gridCol w:w="3264"/>
        <w:gridCol w:w="3264"/>
        <w:gridCol w:w="3264"/>
      </w:tblGrid>
      <w:tr>
        <w:tc>
          <w:tcPr>
            <w:tcW w:type="dxa" w:w="2736"/>
          </w:tcPr>
          <w:p>
            <w:r/>
            <w:r>
              <w:rPr>
                <w:b/>
                <w:sz w:val="19"/>
              </w:rPr>
              <w:t>Venue</w:t>
            </w:r>
          </w:p>
        </w:tc>
        <w:tc>
          <w:tcPr>
            <w:tcW w:type="dxa" w:w="1440"/>
          </w:tcPr>
          <w:p>
            <w:r/>
            <w:r>
              <w:rPr>
                <w:b/>
                <w:sz w:val="19"/>
              </w:rPr>
              <w:t>Role</w:t>
            </w:r>
          </w:p>
        </w:tc>
        <w:tc>
          <w:tcPr>
            <w:tcW w:type="dxa" w:w="5616"/>
          </w:tcPr>
          <w:p>
            <w:r/>
            <w:r>
              <w:rPr>
                <w:b/>
                <w:sz w:val="19"/>
              </w:rPr>
              <w:t>Notes</w:t>
            </w:r>
          </w:p>
        </w:tc>
      </w:tr>
      <w:tr>
        <w:tc>
          <w:tcPr>
            <w:tcW w:type="dxa" w:w="2736"/>
          </w:tcPr>
          <w:p>
            <w:r/>
            <w:r>
              <w:rPr>
                <w:b/>
                <w:sz w:val="19"/>
              </w:rPr>
              <w:t>JMIR / JMIR Med Inform</w:t>
            </w:r>
          </w:p>
        </w:tc>
        <w:tc>
          <w:tcPr>
            <w:tcW w:type="dxa" w:w="1440"/>
          </w:tcPr>
          <w:p>
            <w:r/>
            <w:r>
              <w:rPr>
                <w:b/>
                <w:sz w:val="19"/>
              </w:rPr>
              <w:t>Primary</w:t>
            </w:r>
          </w:p>
        </w:tc>
        <w:tc>
          <w:tcPr>
            <w:tcW w:type="dxa" w:w="5616"/>
          </w:tcPr>
          <w:p>
            <w:r/>
            <w:r>
              <w:rPr>
                <w:b w:val="0"/>
                <w:sz w:val="19"/>
              </w:rPr>
              <w:t>Rolling submission, no deadline pressure. Deployment + evaluation is squarely their scope and the LMIC angle is valued. Article processing charge applies — check student and LMIC waivers.</w:t>
            </w:r>
          </w:p>
        </w:tc>
      </w:tr>
      <w:tr>
        <w:tc>
          <w:tcPr>
            <w:tcW w:type="dxa" w:w="2736"/>
          </w:tcPr>
          <w:p>
            <w:r/>
            <w:r>
              <w:rPr>
                <w:b w:val="0"/>
                <w:sz w:val="19"/>
              </w:rPr>
              <w:t>AMIA Annual Symposium</w:t>
            </w:r>
          </w:p>
        </w:tc>
        <w:tc>
          <w:tcPr>
            <w:tcW w:type="dxa" w:w="1440"/>
          </w:tcPr>
          <w:p>
            <w:r/>
            <w:r>
              <w:rPr>
                <w:b w:val="0"/>
                <w:sz w:val="19"/>
              </w:rPr>
              <w:t>Parallel</w:t>
            </w:r>
          </w:p>
        </w:tc>
        <w:tc>
          <w:tcPr>
            <w:tcW w:type="dxa" w:w="5616"/>
          </w:tcPr>
          <w:p>
            <w:r/>
            <w:r>
              <w:rPr>
                <w:b w:val="0"/>
                <w:sz w:val="19"/>
              </w:rPr>
              <w:t>Clinical informatics systems papers. Roughly a March deadline.</w:t>
            </w:r>
          </w:p>
        </w:tc>
      </w:tr>
      <w:tr>
        <w:tc>
          <w:tcPr>
            <w:tcW w:type="dxa" w:w="2736"/>
          </w:tcPr>
          <w:p>
            <w:r/>
            <w:r>
              <w:rPr>
                <w:b w:val="0"/>
                <w:sz w:val="19"/>
              </w:rPr>
              <w:t>ML4H</w:t>
            </w:r>
          </w:p>
        </w:tc>
        <w:tc>
          <w:tcPr>
            <w:tcW w:type="dxa" w:w="1440"/>
          </w:tcPr>
          <w:p>
            <w:r/>
            <w:r>
              <w:rPr>
                <w:b w:val="0"/>
                <w:sz w:val="19"/>
              </w:rPr>
              <w:t>Parallel</w:t>
            </w:r>
          </w:p>
        </w:tc>
        <w:tc>
          <w:tcPr>
            <w:tcW w:type="dxa" w:w="5616"/>
          </w:tcPr>
          <w:p>
            <w:r/>
            <w:r>
              <w:rPr>
                <w:b w:val="0"/>
                <w:sz w:val="19"/>
              </w:rPr>
              <w:t>Safety guardrails for medical LLMs. Roughly a September deadline.</w:t>
            </w:r>
          </w:p>
        </w:tc>
      </w:tr>
      <w:tr>
        <w:tc>
          <w:tcPr>
            <w:tcW w:type="dxa" w:w="2736"/>
          </w:tcPr>
          <w:p>
            <w:r/>
            <w:r>
              <w:rPr>
                <w:b w:val="0"/>
                <w:sz w:val="19"/>
              </w:rPr>
              <w:t>arXiv</w:t>
            </w:r>
          </w:p>
        </w:tc>
        <w:tc>
          <w:tcPr>
            <w:tcW w:type="dxa" w:w="1440"/>
          </w:tcPr>
          <w:p>
            <w:r/>
            <w:r>
              <w:rPr>
                <w:b w:val="0"/>
                <w:sz w:val="19"/>
              </w:rPr>
              <w:t>Preprint</w:t>
            </w:r>
          </w:p>
        </w:tc>
        <w:tc>
          <w:tcPr>
            <w:tcW w:type="dxa" w:w="5616"/>
          </w:tcPr>
          <w:p>
            <w:r/>
            <w:r>
              <w:rPr>
                <w:b w:val="0"/>
                <w:sz w:val="19"/>
              </w:rPr>
              <w:t>Post when Phase 4 completes — timestamps the work, costs nothing.</w:t>
            </w:r>
          </w:p>
        </w:tc>
      </w:tr>
      <w:tr>
        <w:tc>
          <w:tcPr>
            <w:tcW w:type="dxa" w:w="2736"/>
          </w:tcPr>
          <w:p>
            <w:r/>
            <w:r>
              <w:rPr>
                <w:b w:val="0"/>
                <w:sz w:val="19"/>
              </w:rPr>
              <w:t>EMNLP System Demonstrations</w:t>
            </w:r>
          </w:p>
        </w:tc>
        <w:tc>
          <w:tcPr>
            <w:tcW w:type="dxa" w:w="1440"/>
          </w:tcPr>
          <w:p>
            <w:r/>
            <w:r>
              <w:rPr>
                <w:b w:val="0"/>
                <w:sz w:val="19"/>
              </w:rPr>
              <w:t>Fallback</w:t>
            </w:r>
          </w:p>
        </w:tc>
        <w:tc>
          <w:tcPr>
            <w:tcW w:type="dxa" w:w="5616"/>
          </w:tcPr>
          <w:p>
            <w:r/>
            <w:r>
              <w:rPr>
                <w:b w:val="0"/>
                <w:sz w:val="19"/>
              </w:rPr>
              <w:t>Much lower bar. Insurance policy — you have a live demo.</w:t>
            </w:r>
          </w:p>
        </w:tc>
      </w:tr>
    </w:tbl>
    <w:p>
      <w:pPr>
        <w:spacing w:after="80"/>
      </w:pPr>
    </w:p>
    <w:p>
      <w:pPr>
        <w:spacing w:after="120"/>
      </w:pPr>
      <w:r>
        <w:rPr>
          <w:b w:val="0"/>
          <w:i/>
          <w:sz w:val="19"/>
        </w:rPr>
        <w:t>Verify every deadline yourself; conference cycles shift.</w:t>
      </w:r>
    </w:p>
    <w:p>
      <w:r>
        <w:br w:type="page"/>
      </w:r>
    </w:p>
    <w:p>
      <w:pPr>
        <w:pStyle w:val="Heading1"/>
      </w:pPr>
      <w:r>
        <w:t>3. Running this for free</w:t>
      </w:r>
    </w:p>
    <w:p>
      <w:pPr>
        <w:spacing w:after="160"/>
      </w:pPr>
      <w:r>
        <w:rPr>
          <w:b w:val="0"/>
          <w:i w:val="0"/>
        </w:rPr>
        <w:t>You said you do not want to spend money on APIs. You do not have to, and the free route is genuinely better for the paper than the paid one.</w:t>
      </w:r>
    </w:p>
    <w:p>
      <w:pPr>
        <w:pStyle w:val="Heading2"/>
      </w:pPr>
      <w:r>
        <w:t>3.1 What your machine can do</w:t>
      </w:r>
    </w:p>
    <w:p>
      <w:pPr>
        <w:spacing w:after="160"/>
      </w:pPr>
      <w:r>
        <w:rPr>
          <w:b w:val="0"/>
          <w:i w:val="0"/>
        </w:rPr>
        <w:t>Measured: Intel Xeon W-2145 at 3.7 GHz, 5 cores, 69 GB RAM, 410 GB free disk, AVX-512 — and no GPU (only a Microsoft Basic Display Adapter, so this is a virtualized host). That means CPU-only inference. It rules out large dense models. It does not block the plan.</w:t>
      </w:r>
    </w:p>
    <w:p>
      <w:pPr>
        <w:pStyle w:val="Heading2"/>
      </w:pPr>
      <w:r>
        <w:t>3.2 The fact the whole strategy turns on</w:t>
      </w:r>
    </w:p>
    <w:p>
      <w:pPr>
        <w:spacing w:after="40"/>
        <w:ind w:left="173"/>
        <w:shd w:val="clear" w:fill="E8F1F8"/>
      </w:pPr>
      <w:r>
        <w:rPr>
          <w:b/>
          <w:sz w:val="21"/>
        </w:rPr>
        <w:t>gpt-oss-20b is both open-weight AND served on Groq's free tier</w:t>
      </w:r>
    </w:p>
    <w:p>
      <w:pPr>
        <w:spacing w:after="200"/>
        <w:ind w:left="173"/>
        <w:shd w:val="clear" w:fill="E8F1F8"/>
      </w:pPr>
      <w:r>
        <w:rPr>
          <w:sz w:val="20"/>
        </w:rPr>
        <w:t>The same model weights can run in two places: on Groq for speed, and on your own machine for unlimited, perfectly reproducible runs. It is a Mixture-of-Experts model, so it activates only about 3.6B parameters per token — roughly 8B-class speed at considerably better quality. About 12 GB on disk.</w:t>
      </w:r>
    </w:p>
    <w:tbl>
      <w:tblPr>
        <w:tblStyle w:val="LightGrid-Accent1"/>
        <w:tblW w:type="auto" w:w="0"/>
        <w:jc w:val="center"/>
        <w:tblLook w:firstColumn="1" w:firstRow="1" w:lastColumn="0" w:lastRow="0" w:noHBand="0" w:noVBand="1" w:val="04A0"/>
      </w:tblPr>
      <w:tblGrid>
        <w:gridCol w:w="3264"/>
        <w:gridCol w:w="3264"/>
        <w:gridCol w:w="3264"/>
      </w:tblGrid>
      <w:tr>
        <w:tc>
          <w:tcPr>
            <w:tcW w:type="dxa" w:w="2736"/>
          </w:tcPr>
          <w:p>
            <w:r/>
            <w:r>
              <w:rPr>
                <w:b/>
                <w:sz w:val="19"/>
              </w:rPr>
            </w:r>
          </w:p>
        </w:tc>
        <w:tc>
          <w:tcPr>
            <w:tcW w:type="dxa" w:w="3456"/>
          </w:tcPr>
          <w:p>
            <w:r/>
            <w:r>
              <w:rPr>
                <w:b/>
                <w:sz w:val="19"/>
              </w:rPr>
              <w:t>Groq free tier</w:t>
            </w:r>
          </w:p>
        </w:tc>
        <w:tc>
          <w:tcPr>
            <w:tcW w:type="dxa" w:w="3600"/>
          </w:tcPr>
          <w:p>
            <w:r/>
            <w:r>
              <w:rPr>
                <w:b/>
                <w:sz w:val="19"/>
              </w:rPr>
              <w:t>Local gpt-oss-20b</w:t>
            </w:r>
          </w:p>
        </w:tc>
      </w:tr>
      <w:tr>
        <w:tc>
          <w:tcPr>
            <w:tcW w:type="dxa" w:w="2736"/>
          </w:tcPr>
          <w:p>
            <w:r/>
            <w:r>
              <w:rPr>
                <w:b w:val="0"/>
                <w:sz w:val="19"/>
              </w:rPr>
              <w:t>Speed</w:t>
            </w:r>
          </w:p>
        </w:tc>
        <w:tc>
          <w:tcPr>
            <w:tcW w:type="dxa" w:w="3456"/>
          </w:tcPr>
          <w:p>
            <w:r/>
            <w:r>
              <w:rPr>
                <w:b w:val="0"/>
                <w:sz w:val="19"/>
              </w:rPr>
              <w:t>Very fast</w:t>
            </w:r>
          </w:p>
        </w:tc>
        <w:tc>
          <w:tcPr>
            <w:tcW w:type="dxa" w:w="3600"/>
          </w:tcPr>
          <w:p>
            <w:r/>
            <w:r>
              <w:rPr>
                <w:b w:val="0"/>
                <w:sz w:val="19"/>
              </w:rPr>
              <w:t>~95 s per answer (estimate)</w:t>
            </w:r>
          </w:p>
        </w:tc>
      </w:tr>
      <w:tr>
        <w:tc>
          <w:tcPr>
            <w:tcW w:type="dxa" w:w="2736"/>
          </w:tcPr>
          <w:p>
            <w:r/>
            <w:r>
              <w:rPr>
                <w:b w:val="0"/>
                <w:sz w:val="19"/>
              </w:rPr>
              <w:t>Quota</w:t>
            </w:r>
          </w:p>
        </w:tc>
        <w:tc>
          <w:tcPr>
            <w:tcW w:type="dxa" w:w="3456"/>
          </w:tcPr>
          <w:p>
            <w:r/>
            <w:r>
              <w:rPr>
                <w:b w:val="0"/>
                <w:sz w:val="19"/>
              </w:rPr>
              <w:t>Daily token cap</w:t>
            </w:r>
          </w:p>
        </w:tc>
        <w:tc>
          <w:tcPr>
            <w:tcW w:type="dxa" w:w="3600"/>
          </w:tcPr>
          <w:p>
            <w:r/>
            <w:r>
              <w:rPr>
                <w:b/>
                <w:sz w:val="19"/>
              </w:rPr>
              <w:t>Unlimited</w:t>
            </w:r>
          </w:p>
        </w:tc>
      </w:tr>
      <w:tr>
        <w:tc>
          <w:tcPr>
            <w:tcW w:type="dxa" w:w="2736"/>
          </w:tcPr>
          <w:p>
            <w:r/>
            <w:r>
              <w:rPr>
                <w:b w:val="0"/>
                <w:sz w:val="19"/>
              </w:rPr>
              <w:t>Reproducible sampling</w:t>
            </w:r>
          </w:p>
        </w:tc>
        <w:tc>
          <w:tcPr>
            <w:tcW w:type="dxa" w:w="3456"/>
          </w:tcPr>
          <w:p>
            <w:r/>
            <w:r>
              <w:rPr>
                <w:b w:val="0"/>
                <w:sz w:val="19"/>
              </w:rPr>
              <w:t>Not guaranteed</w:t>
            </w:r>
          </w:p>
        </w:tc>
        <w:tc>
          <w:tcPr>
            <w:tcW w:type="dxa" w:w="3600"/>
          </w:tcPr>
          <w:p>
            <w:r/>
            <w:r>
              <w:rPr>
                <w:b/>
                <w:sz w:val="19"/>
              </w:rPr>
              <w:t>Exact, seed-pinned</w:t>
            </w:r>
          </w:p>
        </w:tc>
      </w:tr>
      <w:tr>
        <w:tc>
          <w:tcPr>
            <w:tcW w:type="dxa" w:w="2736"/>
          </w:tcPr>
          <w:p>
            <w:r/>
            <w:r>
              <w:rPr>
                <w:b w:val="0"/>
                <w:sz w:val="19"/>
              </w:rPr>
              <w:t>Survives the model being retired</w:t>
            </w:r>
          </w:p>
        </w:tc>
        <w:tc>
          <w:tcPr>
            <w:tcW w:type="dxa" w:w="3456"/>
          </w:tcPr>
          <w:p>
            <w:r/>
            <w:r>
              <w:rPr>
                <w:b/>
                <w:sz w:val="19"/>
              </w:rPr>
              <w:t>No — this already happened to you</w:t>
            </w:r>
          </w:p>
        </w:tc>
        <w:tc>
          <w:tcPr>
            <w:tcW w:type="dxa" w:w="3600"/>
          </w:tcPr>
          <w:p>
            <w:r/>
            <w:r>
              <w:rPr>
                <w:b/>
                <w:sz w:val="19"/>
              </w:rPr>
              <w:t>Yes</w:t>
            </w:r>
          </w:p>
        </w:tc>
      </w:tr>
    </w:tbl>
    <w:p>
      <w:pPr>
        <w:spacing w:after="80"/>
      </w:pPr>
    </w:p>
    <w:p>
      <w:pPr>
        <w:spacing w:after="120"/>
      </w:pPr>
      <w:r>
        <w:rPr>
          <w:b/>
          <w:i w:val="0"/>
        </w:rPr>
        <w:t xml:space="preserve">The strategy: </w:t>
      </w:r>
      <w:r>
        <w:rPr>
          <w:b w:val="0"/>
          <w:i w:val="0"/>
        </w:rPr>
        <w:t>Groq for bulk throughput, local for determinism-critical runs, quota overflow, and the permanent reproducibility archive. Validate that the two agree on a shared sample, then use whichever is available. No single point of failure, no money.</w:t>
      </w:r>
    </w:p>
    <w:p>
      <w:pPr>
        <w:spacing w:after="40"/>
        <w:ind w:left="173"/>
        <w:shd w:val="clear" w:fill="E8F1F8"/>
      </w:pPr>
      <w:r>
        <w:rPr>
          <w:b/>
          <w:sz w:val="21"/>
        </w:rPr>
        <w:t>This also writes your best methods paragraph</w:t>
      </w:r>
    </w:p>
    <w:p>
      <w:pPr>
        <w:spacing w:after="200"/>
        <w:ind w:left="173"/>
        <w:shd w:val="clear" w:fill="E8F1F8"/>
      </w:pPr>
      <w:r>
        <w:rPr>
          <w:sz w:val="20"/>
        </w:rPr>
        <w:t>"We use open-weight models pinned by hash, because our earlier results became unreproducible when a hosted model was decommissioned mid-project." That is not an excuse — it is exactly the reproducibility argument reviewers want to see, and you have lived proof of it.</w:t>
      </w:r>
    </w:p>
    <w:p>
      <w:pPr>
        <w:pStyle w:val="Heading2"/>
      </w:pPr>
      <w:r>
        <w:t>3.3 Model options</w:t>
      </w:r>
    </w:p>
    <w:tbl>
      <w:tblPr>
        <w:tblStyle w:val="LightGrid-Accent1"/>
        <w:tblW w:type="auto" w:w="0"/>
        <w:jc w:val="center"/>
        <w:tblLook w:firstColumn="1" w:firstRow="1" w:lastColumn="0" w:lastRow="0" w:noHBand="0" w:noVBand="1" w:val="04A0"/>
      </w:tblPr>
      <w:tblGrid>
        <w:gridCol w:w="1958"/>
        <w:gridCol w:w="1958"/>
        <w:gridCol w:w="1958"/>
        <w:gridCol w:w="1958"/>
        <w:gridCol w:w="1958"/>
      </w:tblGrid>
      <w:tr>
        <w:tc>
          <w:tcPr>
            <w:tcW w:type="dxa" w:w="2448"/>
          </w:tcPr>
          <w:p>
            <w:r/>
            <w:r>
              <w:rPr>
                <w:b/>
                <w:sz w:val="19"/>
              </w:rPr>
              <w:t>Model</w:t>
            </w:r>
          </w:p>
        </w:tc>
        <w:tc>
          <w:tcPr>
            <w:tcW w:type="dxa" w:w="1296"/>
          </w:tcPr>
          <w:p>
            <w:r/>
            <w:r>
              <w:rPr>
                <w:b/>
                <w:sz w:val="19"/>
              </w:rPr>
              <w:t>Size</w:t>
            </w:r>
          </w:p>
        </w:tc>
        <w:tc>
          <w:tcPr>
            <w:tcW w:type="dxa" w:w="1296"/>
          </w:tcPr>
          <w:p>
            <w:r/>
            <w:r>
              <w:rPr>
                <w:b/>
                <w:sz w:val="19"/>
              </w:rPr>
              <w:t>Fits 69 GB</w:t>
            </w:r>
          </w:p>
        </w:tc>
        <w:tc>
          <w:tcPr>
            <w:tcW w:type="dxa" w:w="1584"/>
          </w:tcPr>
          <w:p>
            <w:r/>
            <w:r>
              <w:rPr>
                <w:b/>
                <w:sz w:val="19"/>
              </w:rPr>
              <w:t>Est. speed</w:t>
            </w:r>
          </w:p>
        </w:tc>
        <w:tc>
          <w:tcPr>
            <w:tcW w:type="dxa" w:w="3168"/>
          </w:tcPr>
          <w:p>
            <w:r/>
            <w:r>
              <w:rPr>
                <w:b/>
                <w:sz w:val="19"/>
              </w:rPr>
              <w:t>Role</w:t>
            </w:r>
          </w:p>
        </w:tc>
      </w:tr>
      <w:tr>
        <w:tc>
          <w:tcPr>
            <w:tcW w:type="dxa" w:w="2448"/>
          </w:tcPr>
          <w:p>
            <w:r/>
            <w:r>
              <w:rPr>
                <w:b w:val="0"/>
                <w:sz w:val="19"/>
              </w:rPr>
              <w:t>gpt-oss-20b** (MoE)</w:t>
            </w:r>
          </w:p>
        </w:tc>
        <w:tc>
          <w:tcPr>
            <w:tcW w:type="dxa" w:w="1296"/>
          </w:tcPr>
          <w:p>
            <w:r/>
            <w:r>
              <w:rPr>
                <w:b w:val="0"/>
                <w:sz w:val="19"/>
              </w:rPr>
              <w:t>~12 GB</w:t>
            </w:r>
          </w:p>
        </w:tc>
        <w:tc>
          <w:tcPr>
            <w:tcW w:type="dxa" w:w="1296"/>
          </w:tcPr>
          <w:p>
            <w:r/>
            <w:r>
              <w:rPr>
                <w:b w:val="0"/>
                <w:sz w:val="19"/>
              </w:rPr>
              <w:t>Yes</w:t>
            </w:r>
          </w:p>
        </w:tc>
        <w:tc>
          <w:tcPr>
            <w:tcW w:type="dxa" w:w="1584"/>
          </w:tcPr>
          <w:p>
            <w:r/>
            <w:r>
              <w:rPr>
                <w:b w:val="0"/>
                <w:sz w:val="19"/>
              </w:rPr>
              <w:t>8–14 tok/s</w:t>
            </w:r>
          </w:p>
        </w:tc>
        <w:tc>
          <w:tcPr>
            <w:tcW w:type="dxa" w:w="3168"/>
          </w:tcPr>
          <w:p>
            <w:r/>
            <w:r>
              <w:rPr>
                <w:b/>
                <w:sz w:val="19"/>
              </w:rPr>
              <w:t>Primary local backbone</w:t>
            </w:r>
          </w:p>
        </w:tc>
      </w:tr>
      <w:tr>
        <w:tc>
          <w:tcPr>
            <w:tcW w:type="dxa" w:w="2448"/>
          </w:tcPr>
          <w:p>
            <w:r/>
            <w:r>
              <w:rPr>
                <w:b w:val="0"/>
                <w:sz w:val="19"/>
              </w:rPr>
              <w:t>qwen3-8b / llama-3.1-8b</w:t>
            </w:r>
          </w:p>
        </w:tc>
        <w:tc>
          <w:tcPr>
            <w:tcW w:type="dxa" w:w="1296"/>
          </w:tcPr>
          <w:p>
            <w:r/>
            <w:r>
              <w:rPr>
                <w:b w:val="0"/>
                <w:sz w:val="19"/>
              </w:rPr>
              <w:t>~5 GB</w:t>
            </w:r>
          </w:p>
        </w:tc>
        <w:tc>
          <w:tcPr>
            <w:tcW w:type="dxa" w:w="1296"/>
          </w:tcPr>
          <w:p>
            <w:r/>
            <w:r>
              <w:rPr>
                <w:b w:val="0"/>
                <w:sz w:val="19"/>
              </w:rPr>
              <w:t>Yes</w:t>
            </w:r>
          </w:p>
        </w:tc>
        <w:tc>
          <w:tcPr>
            <w:tcW w:type="dxa" w:w="1584"/>
          </w:tcPr>
          <w:p>
            <w:r/>
            <w:r>
              <w:rPr>
                <w:b w:val="0"/>
                <w:sz w:val="19"/>
              </w:rPr>
              <w:t>5–9 tok/s</w:t>
            </w:r>
          </w:p>
        </w:tc>
        <w:tc>
          <w:tcPr>
            <w:tcW w:type="dxa" w:w="3168"/>
          </w:tcPr>
          <w:p>
            <w:r/>
            <w:r>
              <w:rPr>
                <w:b w:val="0"/>
                <w:sz w:val="19"/>
              </w:rPr>
              <w:t>Fast secondary arm</w:t>
            </w:r>
          </w:p>
        </w:tc>
      </w:tr>
      <w:tr>
        <w:tc>
          <w:tcPr>
            <w:tcW w:type="dxa" w:w="2448"/>
          </w:tcPr>
          <w:p>
            <w:r/>
            <w:r>
              <w:rPr>
                <w:b w:val="0"/>
                <w:sz w:val="19"/>
              </w:rPr>
              <w:t>gpt-oss-120b (MoE)</w:t>
            </w:r>
          </w:p>
        </w:tc>
        <w:tc>
          <w:tcPr>
            <w:tcW w:type="dxa" w:w="1296"/>
          </w:tcPr>
          <w:p>
            <w:r/>
            <w:r>
              <w:rPr>
                <w:b w:val="0"/>
                <w:sz w:val="19"/>
              </w:rPr>
              <w:t>~63 GB</w:t>
            </w:r>
          </w:p>
        </w:tc>
        <w:tc>
          <w:tcPr>
            <w:tcW w:type="dxa" w:w="1296"/>
          </w:tcPr>
          <w:p>
            <w:r/>
            <w:r>
              <w:rPr>
                <w:b w:val="0"/>
                <w:sz w:val="19"/>
              </w:rPr>
              <w:t>Tight</w:t>
            </w:r>
          </w:p>
        </w:tc>
        <w:tc>
          <w:tcPr>
            <w:tcW w:type="dxa" w:w="1584"/>
          </w:tcPr>
          <w:p>
            <w:r/>
            <w:r>
              <w:rPr>
                <w:b w:val="0"/>
                <w:sz w:val="19"/>
              </w:rPr>
              <w:t>3–6 tok/s</w:t>
            </w:r>
          </w:p>
        </w:tc>
        <w:tc>
          <w:tcPr>
            <w:tcW w:type="dxa" w:w="3168"/>
          </w:tcPr>
          <w:p>
            <w:r/>
            <w:r>
              <w:rPr>
                <w:b w:val="0"/>
                <w:sz w:val="19"/>
              </w:rPr>
              <w:t>Optional subset check</w:t>
            </w:r>
          </w:p>
        </w:tc>
      </w:tr>
      <w:tr>
        <w:tc>
          <w:tcPr>
            <w:tcW w:type="dxa" w:w="2448"/>
          </w:tcPr>
          <w:p>
            <w:r/>
            <w:r>
              <w:rPr>
                <w:b w:val="0"/>
                <w:sz w:val="19"/>
              </w:rPr>
              <w:t>Any 70B dense model</w:t>
            </w:r>
          </w:p>
        </w:tc>
        <w:tc>
          <w:tcPr>
            <w:tcW w:type="dxa" w:w="1296"/>
          </w:tcPr>
          <w:p>
            <w:r/>
            <w:r>
              <w:rPr>
                <w:b w:val="0"/>
                <w:sz w:val="19"/>
              </w:rPr>
              <w:t>~40 GB</w:t>
            </w:r>
          </w:p>
        </w:tc>
        <w:tc>
          <w:tcPr>
            <w:tcW w:type="dxa" w:w="1296"/>
          </w:tcPr>
          <w:p>
            <w:r/>
            <w:r>
              <w:rPr>
                <w:b w:val="0"/>
                <w:sz w:val="19"/>
              </w:rPr>
              <w:t>Yes</w:t>
            </w:r>
          </w:p>
        </w:tc>
        <w:tc>
          <w:tcPr>
            <w:tcW w:type="dxa" w:w="1584"/>
          </w:tcPr>
          <w:p>
            <w:r/>
            <w:r>
              <w:rPr>
                <w:b w:val="0"/>
                <w:sz w:val="19"/>
              </w:rPr>
              <w:t>1–2 tok/s</w:t>
            </w:r>
          </w:p>
        </w:tc>
        <w:tc>
          <w:tcPr>
            <w:tcW w:type="dxa" w:w="3168"/>
          </w:tcPr>
          <w:p>
            <w:r/>
            <w:r>
              <w:rPr>
                <w:b/>
                <w:sz w:val="19"/>
              </w:rPr>
              <w:t>Unusable — do not attempt</w:t>
            </w:r>
          </w:p>
        </w:tc>
      </w:tr>
    </w:tbl>
    <w:p>
      <w:pPr>
        <w:spacing w:after="80"/>
      </w:pPr>
    </w:p>
    <w:p>
      <w:pPr>
        <w:spacing w:after="160"/>
      </w:pPr>
      <w:r>
        <w:rPr>
          <w:b/>
          <w:i/>
          <w:sz w:val="19"/>
        </w:rPr>
        <w:t>These speeds are estimates. They must be benchmarked in Phase 1 before the schedule depends on them.</w:t>
      </w:r>
    </w:p>
    <w:p>
      <w:pPr>
        <w:pStyle w:val="Heading2"/>
      </w:pPr>
      <w:r>
        <w:t>3.4 Time budget, and how to cut it</w:t>
      </w:r>
    </w:p>
    <w:p>
      <w:pPr>
        <w:spacing w:after="80"/>
      </w:pPr>
      <w:r>
        <w:rPr>
          <w:b w:val="0"/>
          <w:i w:val="0"/>
        </w:rPr>
        <w:t>About 5,500 generations are needed in total. At roughly 95 seconds each that is around 145 hours — six days of continuous compute, with no slack for reruns. Three fixes, apply all of them:</w:t>
      </w:r>
    </w:p>
    <w:p>
      <w:pPr>
        <w:pStyle w:val="ListNumber"/>
        <w:spacing w:after="60"/>
      </w:pPr>
      <w:r>
        <w:rPr>
          <w:b/>
        </w:rPr>
        <w:t xml:space="preserve">Reuse the prompt cache. </w:t>
      </w:r>
      <w:r>
        <w:t>Arms A1–A6 share the same retrieved context for a given question, so the expensive prompt-processing step can be reused across arms rather than repeated.</w:t>
      </w:r>
    </w:p>
    <w:p>
      <w:pPr>
        <w:pStyle w:val="ListNumber"/>
        <w:spacing w:after="60"/>
      </w:pPr>
      <w:r>
        <w:rPr>
          <w:b/>
        </w:rPr>
        <w:t xml:space="preserve">Seed asymmetrically. </w:t>
      </w:r>
      <w:r>
        <w:t>Three seeds only for the headline arms, one for the intermediate arms. That cuts 21 runs per question to 13 — roughly 2,600 generations, under three days.</w:t>
      </w:r>
    </w:p>
    <w:p>
      <w:pPr>
        <w:pStyle w:val="ListNumber"/>
        <w:spacing w:after="60"/>
      </w:pPr>
      <w:r>
        <w:rPr>
          <w:b/>
        </w:rPr>
        <w:t xml:space="preserve">Split by provider. </w:t>
      </w:r>
      <w:r>
        <w:t>Bulk on the Groq free tier, determinism-critical subset locally.</w:t>
      </w:r>
    </w:p>
    <w:p>
      <w:pPr>
        <w:pStyle w:val="Heading2"/>
      </w:pPr>
      <w:r>
        <w:t>3.5 Removing every remaining paid dependency</w:t>
      </w:r>
    </w:p>
    <w:tbl>
      <w:tblPr>
        <w:tblStyle w:val="LightGrid-Accent1"/>
        <w:tblW w:type="auto" w:w="0"/>
        <w:jc w:val="center"/>
        <w:tblLook w:firstColumn="1" w:firstRow="1" w:lastColumn="0" w:lastRow="0" w:noHBand="0" w:noVBand="1" w:val="04A0"/>
      </w:tblPr>
      <w:tblGrid>
        <w:gridCol w:w="4896"/>
        <w:gridCol w:w="4896"/>
      </w:tblGrid>
      <w:tr>
        <w:tc>
          <w:tcPr>
            <w:tcW w:type="dxa" w:w="3888"/>
          </w:tcPr>
          <w:p>
            <w:r/>
            <w:r>
              <w:rPr>
                <w:b/>
                <w:sz w:val="19"/>
              </w:rPr>
              <w:t>What you pay for now</w:t>
            </w:r>
          </w:p>
        </w:tc>
        <w:tc>
          <w:tcPr>
            <w:tcW w:type="dxa" w:w="5904"/>
          </w:tcPr>
          <w:p>
            <w:r/>
            <w:r>
              <w:rPr>
                <w:b/>
                <w:sz w:val="19"/>
              </w:rPr>
              <w:t>Free replacement</w:t>
            </w:r>
          </w:p>
        </w:tc>
      </w:tr>
      <w:tr>
        <w:tc>
          <w:tcPr>
            <w:tcW w:type="dxa" w:w="3888"/>
          </w:tcPr>
          <w:p>
            <w:r/>
            <w:r>
              <w:rPr>
                <w:b w:val="0"/>
                <w:sz w:val="19"/>
              </w:rPr>
              <w:t>Generation (Groq llama-3.3-70b — dead)</w:t>
            </w:r>
          </w:p>
        </w:tc>
        <w:tc>
          <w:tcPr>
            <w:tcW w:type="dxa" w:w="5904"/>
          </w:tcPr>
          <w:p>
            <w:r/>
            <w:r>
              <w:rPr>
                <w:b w:val="0"/>
                <w:sz w:val="19"/>
              </w:rPr>
              <w:t>Groq free gpt-oss-20b **plus the same weights locally</w:t>
            </w:r>
          </w:p>
        </w:tc>
      </w:tr>
      <w:tr>
        <w:tc>
          <w:tcPr>
            <w:tcW w:type="dxa" w:w="3888"/>
          </w:tcPr>
          <w:p>
            <w:r/>
            <w:r>
              <w:rPr>
                <w:b w:val="0"/>
                <w:sz w:val="19"/>
              </w:rPr>
              <w:t>Reranking (Cohere rerank-v3.5, trial rate limits)</w:t>
            </w:r>
          </w:p>
        </w:tc>
        <w:tc>
          <w:tcPr>
            <w:tcW w:type="dxa" w:w="5904"/>
          </w:tcPr>
          <w:p>
            <w:r/>
            <w:r>
              <w:rPr>
                <w:b w:val="0"/>
                <w:sz w:val="19"/>
              </w:rPr>
              <w:t>BAAI/bge-reranker-v2-m3 cross-encoder, runs on CPU</w:t>
            </w:r>
          </w:p>
        </w:tc>
      </w:tr>
      <w:tr>
        <w:tc>
          <w:tcPr>
            <w:tcW w:type="dxa" w:w="3888"/>
          </w:tcPr>
          <w:p>
            <w:r/>
            <w:r>
              <w:rPr>
                <w:b w:val="0"/>
                <w:sz w:val="19"/>
              </w:rPr>
              <w:t>Embeddings (Cohere embed-english-v3.0)</w:t>
            </w:r>
          </w:p>
        </w:tc>
        <w:tc>
          <w:tcPr>
            <w:tcW w:type="dxa" w:w="5904"/>
          </w:tcPr>
          <w:p>
            <w:r/>
            <w:r>
              <w:rPr>
                <w:b w:val="0"/>
                <w:sz w:val="19"/>
              </w:rPr>
              <w:t>Already computed and stored in Supabase — do not change the embedder.** Switching would force re-embedding all 3,816 chunks and invalidate your frozen corpus.</w:t>
            </w:r>
          </w:p>
        </w:tc>
      </w:tr>
      <w:tr>
        <w:tc>
          <w:tcPr>
            <w:tcW w:type="dxa" w:w="3888"/>
          </w:tcPr>
          <w:p>
            <w:r/>
            <w:r>
              <w:rPr>
                <w:b w:val="0"/>
                <w:sz w:val="19"/>
              </w:rPr>
              <w:t>NLI guardrail</w:t>
            </w:r>
          </w:p>
        </w:tc>
        <w:tc>
          <w:tcPr>
            <w:tcW w:type="dxa" w:w="5904"/>
          </w:tcPr>
          <w:p>
            <w:r/>
            <w:r>
              <w:rPr>
                <w:b w:val="0"/>
                <w:sz w:val="19"/>
              </w:rPr>
              <w:t>Already local and small</w:t>
            </w:r>
          </w:p>
        </w:tc>
      </w:tr>
      <w:tr>
        <w:tc>
          <w:tcPr>
            <w:tcW w:type="dxa" w:w="3888"/>
          </w:tcPr>
          <w:p>
            <w:r/>
            <w:r>
              <w:rPr>
                <w:b w:val="0"/>
                <w:sz w:val="19"/>
              </w:rPr>
              <w:t>Independent judge (new requirement)</w:t>
            </w:r>
          </w:p>
        </w:tc>
        <w:tc>
          <w:tcPr>
            <w:tcW w:type="dxa" w:w="5904"/>
          </w:tcPr>
          <w:p>
            <w:r/>
            <w:r>
              <w:rPr>
                <w:b w:val="0"/>
                <w:sz w:val="19"/>
              </w:rPr>
              <w:t>MiniCheck or AlignScore — both run locally on CPU</w:t>
            </w:r>
          </w:p>
        </w:tc>
      </w:tr>
    </w:tbl>
    <w:p>
      <w:pPr>
        <w:spacing w:after="80"/>
      </w:pPr>
    </w:p>
    <w:p>
      <w:pPr>
        <w:spacing w:after="80"/>
      </w:pPr>
      <w:r>
        <w:rPr>
          <w:b w:val="0"/>
          <w:i w:val="0"/>
        </w:rPr>
        <w:t>Register these as backups but do not depend on any single one: Google AI Studio (Gemini) free tier, GitHub Models, Cerebras Cloud free tier, OpenRouter free model variants, HuggingFace Inference Providers credits, Mistral's free tier.</w:t>
      </w:r>
    </w:p>
    <w:p>
      <w:r>
        <w:br w:type="page"/>
      </w:r>
    </w:p>
    <w:p>
      <w:pPr>
        <w:pStyle w:val="Heading1"/>
      </w:pPr>
      <w:r>
        <w:t>4. The 18-week plan</w:t>
      </w:r>
    </w:p>
    <w:p>
      <w:pPr>
        <w:pStyle w:val="Heading2"/>
      </w:pPr>
      <w:r>
        <w:t>Phase 0 — Secure, freeze, instrument (Week 1)</w:t>
      </w:r>
    </w:p>
    <w:p>
      <w:pPr>
        <w:spacing w:after="40"/>
        <w:ind w:left="173"/>
        <w:shd w:val="clear" w:fill="FDECEC"/>
      </w:pPr>
      <w:r>
        <w:rPr>
          <w:b/>
          <w:sz w:val="21"/>
        </w:rPr>
        <w:t>Do this before anything else</w:t>
      </w:r>
    </w:p>
    <w:p>
      <w:pPr>
        <w:spacing w:after="200"/>
        <w:ind w:left="173"/>
        <w:shd w:val="clear" w:fill="FDECEC"/>
      </w:pPr>
      <w:r>
        <w:rPr>
          <w:sz w:val="20"/>
        </w:rPr>
        <w:t>Back up the corpus today. Export all 1,009 documents and 3,816 chunks — including the embedding vectors — to local disk, with a checksum, plus a second copy off this machine. Commit the 224 recovered manifest URLs in the same commit.</w:t>
        <w:br/>
        <w:br/>
        <w:t>That Supabase project disappeared once already and came back. Until this export exists, every remaining week of this plan is sitting on a single point of failure.</w:t>
      </w:r>
    </w:p>
    <w:p>
      <w:pPr>
        <w:pStyle w:val="ListBullet"/>
        <w:spacing w:after="60"/>
      </w:pPr>
      <w:r>
        <w:rPr>
          <w:b/>
        </w:rPr>
        <w:t xml:space="preserve">Freeze and record. </w:t>
      </w:r>
      <w:r>
        <w:t>Write eval/corpus_manifest.json recording document and chunk counts and the full source breakdown. Tag the repository paper-v1. Every number in the paper comes from this tag or later.</w:t>
      </w:r>
    </w:p>
    <w:p>
      <w:pPr>
        <w:pStyle w:val="ListBullet"/>
        <w:spacing w:after="60"/>
      </w:pPr>
      <w:r>
        <w:rPr>
          <w:b/>
        </w:rPr>
        <w:t xml:space="preserve">Re-run the real gradability audit </w:t>
      </w:r>
      <w:r>
        <w:t>against the live corpus, to get the citable figure rather than my approximation.</w:t>
      </w:r>
    </w:p>
    <w:p>
      <w:pPr>
        <w:pStyle w:val="ListBullet"/>
        <w:spacing w:after="60"/>
      </w:pPr>
      <w:r>
        <w:rPr>
          <w:b/>
        </w:rPr>
        <w:t xml:space="preserve">Record, then fix, the scope-guard hole (F4). </w:t>
      </w:r>
      <w:r>
        <w:t>First freeze the broken behaviour as evidence with the commit SHA. Then fix it. Then re-run the coverage scorer to measure what the fix costs on the access axis — that cost is itself a data point on your central figure. Get CI green (58/58).</w:t>
      </w:r>
    </w:p>
    <w:p>
      <w:pPr>
        <w:pStyle w:val="ListBullet"/>
        <w:spacing w:after="60"/>
      </w:pPr>
      <w:r>
        <w:rPr>
          <w:b/>
        </w:rPr>
        <w:t xml:space="preserve">Make runs reproducible. </w:t>
      </w:r>
      <w:r>
        <w:t>Add an EVAL_DETERMINISTIC switch forcing temperature 0 and a fixed seed for evaluation, while production stays at 0.15. Add seed controls to the three main scorers and report mean with 95% confidence intervals. Add a run_manifest block to every result file recording git SHA, model IDs and weight hashes, backend, every threshold, and corpus counts. Archive the pre-paper-v1 baselines as uncitable. Rotate the five exposed keys.</w:t>
      </w:r>
    </w:p>
    <w:p>
      <w:pPr>
        <w:pStyle w:val="Heading2"/>
      </w:pPr>
      <w:r>
        <w:t>Phase 1 — Stand up the free stack (Week 2)</w:t>
      </w:r>
    </w:p>
    <w:p>
      <w:pPr>
        <w:pStyle w:val="ListBullet"/>
        <w:spacing w:after="60"/>
      </w:pPr>
      <w:r>
        <w:t>Install Ollama or llama.cpp, pull gpt-oss-20b, record the weight hash.</w:t>
      </w:r>
    </w:p>
    <w:p>
      <w:pPr>
        <w:pStyle w:val="ListBullet"/>
        <w:spacing w:after="60"/>
      </w:pPr>
      <w:r>
        <w:t>Add an LLM_BACKEND switch (groq / local / cohere) to app/RAG.py — the Groq SDK accepts a base_url, so this is a config change, not a rewrite.</w:t>
      </w:r>
    </w:p>
    <w:p>
      <w:pPr>
        <w:pStyle w:val="ListBullet"/>
        <w:spacing w:after="60"/>
      </w:pPr>
      <w:r>
        <w:t>Benchmark real throughput before committing the schedule to it. If local speed comes in under about 5 tokens/second, demote local to the determinism subset and move bulk generation to free cloud tiers. The plan survives either outcome.</w:t>
      </w:r>
    </w:p>
    <w:p>
      <w:pPr>
        <w:pStyle w:val="ListBullet"/>
        <w:spacing w:after="60"/>
      </w:pPr>
      <w:r>
        <w:t>Swap Cohere rerank for bge-reranker-v2-m3 and verify retrieval quality does not regress on a held-out sample before adopting it.</w:t>
      </w:r>
    </w:p>
    <w:p>
      <w:pPr>
        <w:pStyle w:val="ListBullet"/>
        <w:spacing w:after="60"/>
      </w:pPr>
      <w:r>
        <w:t>Validate that local and Groq agree on 50 shared prompts at temperature 0, and report that agreement rate in the paper's reproducibility section.</w:t>
      </w:r>
    </w:p>
    <w:p>
      <w:pPr>
        <w:pStyle w:val="Heading2"/>
      </w:pPr>
      <w:r>
        <w:t>Phase 2 — Question set and runner (Weeks 3–4)</w:t>
      </w:r>
    </w:p>
    <w:p>
      <w:pPr>
        <w:spacing w:after="80"/>
      </w:pPr>
      <w:r>
        <w:rPr>
          <w:b w:val="0"/>
          <w:i w:val="0"/>
        </w:rPr>
        <w:t>Build a stratified set of 200 questions:</w:t>
      </w:r>
    </w:p>
    <w:tbl>
      <w:tblPr>
        <w:tblStyle w:val="LightGrid-Accent1"/>
        <w:tblW w:type="auto" w:w="0"/>
        <w:jc w:val="center"/>
        <w:tblLook w:firstColumn="1" w:firstRow="1" w:lastColumn="0" w:lastRow="0" w:noHBand="0" w:noVBand="1" w:val="04A0"/>
      </w:tblPr>
      <w:tblGrid>
        <w:gridCol w:w="3264"/>
        <w:gridCol w:w="3264"/>
        <w:gridCol w:w="3264"/>
      </w:tblGrid>
      <w:tr>
        <w:tc>
          <w:tcPr>
            <w:tcW w:type="dxa" w:w="3168"/>
          </w:tcPr>
          <w:p>
            <w:r/>
            <w:r>
              <w:rPr>
                <w:b/>
                <w:sz w:val="19"/>
              </w:rPr>
              <w:t>Stratum</w:t>
            </w:r>
          </w:p>
        </w:tc>
        <w:tc>
          <w:tcPr>
            <w:tcW w:type="dxa" w:w="1008"/>
          </w:tcPr>
          <w:p>
            <w:r/>
            <w:r>
              <w:rPr>
                <w:b/>
                <w:sz w:val="19"/>
              </w:rPr>
              <w:t>n</w:t>
            </w:r>
          </w:p>
        </w:tc>
        <w:tc>
          <w:tcPr>
            <w:tcW w:type="dxa" w:w="5616"/>
          </w:tcPr>
          <w:p>
            <w:r/>
            <w:r>
              <w:rPr>
                <w:b/>
                <w:sz w:val="19"/>
              </w:rPr>
              <w:t>Source</w:t>
            </w:r>
          </w:p>
        </w:tc>
      </w:tr>
      <w:tr>
        <w:tc>
          <w:tcPr>
            <w:tcW w:type="dxa" w:w="3168"/>
          </w:tcPr>
          <w:p>
            <w:r/>
            <w:r>
              <w:rPr>
                <w:b w:val="0"/>
                <w:sz w:val="19"/>
              </w:rPr>
              <w:t>Consumer symptom</w:t>
            </w:r>
          </w:p>
        </w:tc>
        <w:tc>
          <w:tcPr>
            <w:tcW w:type="dxa" w:w="1008"/>
          </w:tcPr>
          <w:p>
            <w:r/>
            <w:r>
              <w:rPr>
                <w:b w:val="0"/>
                <w:sz w:val="19"/>
              </w:rPr>
              <w:t>40</w:t>
            </w:r>
          </w:p>
        </w:tc>
        <w:tc>
          <w:tcPr>
            <w:tcW w:type="dxa" w:w="5616"/>
          </w:tcPr>
          <w:p>
            <w:r/>
            <w:r>
              <w:rPr>
                <w:b w:val="0"/>
                <w:sz w:val="19"/>
              </w:rPr>
              <w:t>coverage.jsonl + K-QA subset</w:t>
            </w:r>
          </w:p>
        </w:tc>
      </w:tr>
      <w:tr>
        <w:tc>
          <w:tcPr>
            <w:tcW w:type="dxa" w:w="3168"/>
          </w:tcPr>
          <w:p>
            <w:r/>
            <w:r>
              <w:rPr>
                <w:b w:val="0"/>
                <w:sz w:val="19"/>
              </w:rPr>
              <w:t>Condition education</w:t>
            </w:r>
          </w:p>
        </w:tc>
        <w:tc>
          <w:tcPr>
            <w:tcW w:type="dxa" w:w="1008"/>
          </w:tcPr>
          <w:p>
            <w:r/>
            <w:r>
              <w:rPr>
                <w:b w:val="0"/>
                <w:sz w:val="19"/>
              </w:rPr>
              <w:t>40</w:t>
            </w:r>
          </w:p>
        </w:tc>
        <w:tc>
          <w:tcPr>
            <w:tcW w:type="dxa" w:w="5616"/>
          </w:tcPr>
          <w:p>
            <w:r/>
            <w:r>
              <w:rPr>
                <w:b w:val="0"/>
                <w:sz w:val="19"/>
              </w:rPr>
              <w:t>condition.jsonl</w:t>
            </w:r>
          </w:p>
        </w:tc>
      </w:tr>
      <w:tr>
        <w:tc>
          <w:tcPr>
            <w:tcW w:type="dxa" w:w="3168"/>
          </w:tcPr>
          <w:p>
            <w:r/>
            <w:r>
              <w:rPr>
                <w:b w:val="0"/>
                <w:sz w:val="19"/>
              </w:rPr>
              <w:t>Lab explainer</w:t>
            </w:r>
          </w:p>
        </w:tc>
        <w:tc>
          <w:tcPr>
            <w:tcW w:type="dxa" w:w="1008"/>
          </w:tcPr>
          <w:p>
            <w:r/>
            <w:r>
              <w:rPr>
                <w:b w:val="0"/>
                <w:sz w:val="19"/>
              </w:rPr>
              <w:t>25</w:t>
            </w:r>
          </w:p>
        </w:tc>
        <w:tc>
          <w:tcPr>
            <w:tcW w:type="dxa" w:w="5616"/>
          </w:tcPr>
          <w:p>
            <w:r/>
            <w:r>
              <w:rPr>
                <w:b w:val="0"/>
                <w:sz w:val="19"/>
              </w:rPr>
              <w:t>results.jsonl</w:t>
            </w:r>
          </w:p>
        </w:tc>
      </w:tr>
      <w:tr>
        <w:tc>
          <w:tcPr>
            <w:tcW w:type="dxa" w:w="3168"/>
          </w:tcPr>
          <w:p>
            <w:r/>
            <w:r>
              <w:rPr>
                <w:b w:val="0"/>
                <w:sz w:val="19"/>
              </w:rPr>
              <w:t>Nepal care navigation</w:t>
            </w:r>
          </w:p>
        </w:tc>
        <w:tc>
          <w:tcPr>
            <w:tcW w:type="dxa" w:w="1008"/>
          </w:tcPr>
          <w:p>
            <w:r/>
            <w:r>
              <w:rPr>
                <w:b w:val="0"/>
                <w:sz w:val="19"/>
              </w:rPr>
              <w:t>30</w:t>
            </w:r>
          </w:p>
        </w:tc>
        <w:tc>
          <w:tcPr>
            <w:tcW w:type="dxa" w:w="5616"/>
          </w:tcPr>
          <w:p>
            <w:r/>
            <w:r>
              <w:rPr>
                <w:b w:val="0"/>
                <w:sz w:val="19"/>
              </w:rPr>
              <w:t>navigation_stage2.jsonl</w:t>
            </w:r>
          </w:p>
        </w:tc>
      </w:tr>
      <w:tr>
        <w:tc>
          <w:tcPr>
            <w:tcW w:type="dxa" w:w="3168"/>
          </w:tcPr>
          <w:p>
            <w:r/>
            <w:r>
              <w:rPr>
                <w:b w:val="0"/>
                <w:sz w:val="19"/>
              </w:rPr>
              <w:t>Adversarial (must-refuse)</w:t>
            </w:r>
          </w:p>
        </w:tc>
        <w:tc>
          <w:tcPr>
            <w:tcW w:type="dxa" w:w="1008"/>
          </w:tcPr>
          <w:p>
            <w:r/>
            <w:r>
              <w:rPr>
                <w:b w:val="0"/>
                <w:sz w:val="19"/>
              </w:rPr>
              <w:t>45</w:t>
            </w:r>
          </w:p>
        </w:tc>
        <w:tc>
          <w:tcPr>
            <w:tcW w:type="dxa" w:w="5616"/>
          </w:tcPr>
          <w:p>
            <w:r/>
            <w:r>
              <w:rPr>
                <w:b w:val="0"/>
                <w:sz w:val="19"/>
              </w:rPr>
              <w:t>must_refuse.jsonl, expanded</w:t>
            </w:r>
          </w:p>
        </w:tc>
      </w:tr>
      <w:tr>
        <w:tc>
          <w:tcPr>
            <w:tcW w:type="dxa" w:w="3168"/>
          </w:tcPr>
          <w:p>
            <w:r/>
            <w:r>
              <w:rPr>
                <w:b w:val="0"/>
                <w:sz w:val="19"/>
              </w:rPr>
              <w:t>Emergency red-flag</w:t>
            </w:r>
          </w:p>
        </w:tc>
        <w:tc>
          <w:tcPr>
            <w:tcW w:type="dxa" w:w="1008"/>
          </w:tcPr>
          <w:p>
            <w:r/>
            <w:r>
              <w:rPr>
                <w:b w:val="0"/>
                <w:sz w:val="19"/>
              </w:rPr>
              <w:t>20</w:t>
            </w:r>
          </w:p>
        </w:tc>
        <w:tc>
          <w:tcPr>
            <w:tcW w:type="dxa" w:w="5616"/>
          </w:tcPr>
          <w:p>
            <w:r/>
            <w:r>
              <w:rPr>
                <w:b w:val="0"/>
                <w:sz w:val="19"/>
              </w:rPr>
              <w:t>redflag.jsonl positives</w:t>
            </w:r>
          </w:p>
        </w:tc>
      </w:tr>
    </w:tbl>
    <w:p>
      <w:pPr>
        <w:spacing w:after="80"/>
      </w:pPr>
    </w:p>
    <w:p>
      <w:pPr>
        <w:spacing w:after="120"/>
      </w:pPr>
      <w:r>
        <w:rPr>
          <w:b w:val="0"/>
          <w:i w:val="0"/>
        </w:rPr>
        <w:t>Anchor the external portion in K-QA (Manes et al. 2024) — 1,212 real patient questions with clinician-written must-have and nice-to-have statements. It measures hallucination and comprehensiveness together, which feeds your frontier framing directly.</w:t>
      </w:r>
    </w:p>
    <w:p>
      <w:pPr>
        <w:spacing w:after="120"/>
      </w:pPr>
      <w:r>
        <w:rPr>
          <w:b/>
          <w:i w:val="0"/>
        </w:rPr>
        <w:t xml:space="preserve">Build the runner to retrieve once per question and reuse the identical context across every arm. </w:t>
      </w:r>
      <w:r>
        <w:rPr>
          <w:b w:val="0"/>
          <w:i w:val="0"/>
        </w:rPr>
        <w:t>That is what makes the comparison fair, and it removes the "your baseline was rigged" objection. Build checkpoint and resume in from day one — quota exhaustion has already truncated one of your experiments.</w:t>
      </w:r>
    </w:p>
    <w:p>
      <w:pPr>
        <w:pStyle w:val="Heading2"/>
      </w:pPr>
      <w:r>
        <w:t>Phase 3 — The evaluation that carries the paper (Weeks 5–9)</w:t>
      </w:r>
    </w:p>
    <w:p>
      <w:pPr>
        <w:spacing w:after="120"/>
      </w:pPr>
      <w:r>
        <w:rPr>
          <w:b/>
          <w:i w:val="0"/>
        </w:rPr>
        <w:t>This is the bottleneck. Budget most of your effort here.</w:t>
      </w:r>
    </w:p>
    <w:p>
      <w:pPr>
        <w:pStyle w:val="Heading3"/>
      </w:pPr>
      <w:r>
        <w:t>3.1  The ablation ladder</w:t>
      </w:r>
    </w:p>
    <w:tbl>
      <w:tblPr>
        <w:tblStyle w:val="LightGrid-Accent1"/>
        <w:tblW w:type="auto" w:w="0"/>
        <w:jc w:val="center"/>
        <w:tblLook w:firstColumn="1" w:firstRow="1" w:lastColumn="0" w:lastRow="0" w:noHBand="0" w:noVBand="1" w:val="04A0"/>
      </w:tblPr>
      <w:tblGrid>
        <w:gridCol w:w="4896"/>
        <w:gridCol w:w="4896"/>
      </w:tblGrid>
      <w:tr>
        <w:tc>
          <w:tcPr>
            <w:tcW w:type="dxa" w:w="1008"/>
          </w:tcPr>
          <w:p>
            <w:r/>
            <w:r>
              <w:rPr>
                <w:b/>
                <w:sz w:val="19"/>
              </w:rPr>
              <w:t>Arm</w:t>
            </w:r>
          </w:p>
        </w:tc>
        <w:tc>
          <w:tcPr>
            <w:tcW w:type="dxa" w:w="8784"/>
          </w:tcPr>
          <w:p>
            <w:r/>
            <w:r>
              <w:rPr>
                <w:b/>
                <w:sz w:val="19"/>
              </w:rPr>
              <w:t>What it adds</w:t>
            </w:r>
          </w:p>
        </w:tc>
      </w:tr>
      <w:tr>
        <w:tc>
          <w:tcPr>
            <w:tcW w:type="dxa" w:w="1008"/>
          </w:tcPr>
          <w:p>
            <w:r/>
            <w:r>
              <w:rPr>
                <w:b w:val="0"/>
                <w:sz w:val="19"/>
              </w:rPr>
              <w:t>A0</w:t>
            </w:r>
          </w:p>
        </w:tc>
        <w:tc>
          <w:tcPr>
            <w:tcW w:type="dxa" w:w="8784"/>
          </w:tcPr>
          <w:p>
            <w:r/>
            <w:r>
              <w:rPr>
                <w:b w:val="0"/>
                <w:sz w:val="19"/>
              </w:rPr>
              <w:t>LLM only, no retrieval — the upper bound on hallucination</w:t>
            </w:r>
          </w:p>
        </w:tc>
      </w:tr>
      <w:tr>
        <w:tc>
          <w:tcPr>
            <w:tcW w:type="dxa" w:w="1008"/>
          </w:tcPr>
          <w:p>
            <w:r/>
            <w:r>
              <w:rPr>
                <w:b w:val="0"/>
                <w:sz w:val="19"/>
              </w:rPr>
              <w:t>A1</w:t>
            </w:r>
          </w:p>
        </w:tc>
        <w:tc>
          <w:tcPr>
            <w:tcW w:type="dxa" w:w="8784"/>
          </w:tcPr>
          <w:p>
            <w:r/>
            <w:r>
              <w:rPr>
                <w:b w:val="0"/>
                <w:sz w:val="19"/>
              </w:rPr>
              <w:t>Naive RAG: dense only, no rerank, no gate, no guardrail</w:t>
            </w:r>
          </w:p>
        </w:tc>
      </w:tr>
      <w:tr>
        <w:tc>
          <w:tcPr>
            <w:tcW w:type="dxa" w:w="1008"/>
          </w:tcPr>
          <w:p>
            <w:r/>
            <w:r>
              <w:rPr>
                <w:b w:val="0"/>
                <w:sz w:val="19"/>
              </w:rPr>
              <w:t>A2</w:t>
            </w:r>
          </w:p>
        </w:tc>
        <w:tc>
          <w:tcPr>
            <w:tcW w:type="dxa" w:w="8784"/>
          </w:tcPr>
          <w:p>
            <w:r/>
            <w:r>
              <w:rPr>
                <w:b w:val="0"/>
                <w:sz w:val="19"/>
              </w:rPr>
              <w:t>+ hybrid retrieval (dense + BM25 + RRF) and reranking</w:t>
            </w:r>
          </w:p>
        </w:tc>
      </w:tr>
      <w:tr>
        <w:tc>
          <w:tcPr>
            <w:tcW w:type="dxa" w:w="1008"/>
          </w:tcPr>
          <w:p>
            <w:r/>
            <w:r>
              <w:rPr>
                <w:b w:val="0"/>
                <w:sz w:val="19"/>
              </w:rPr>
              <w:t>A3</w:t>
            </w:r>
          </w:p>
        </w:tc>
        <w:tc>
          <w:tcPr>
            <w:tcW w:type="dxa" w:w="8784"/>
          </w:tcPr>
          <w:p>
            <w:r/>
            <w:r>
              <w:rPr>
                <w:b w:val="0"/>
                <w:sz w:val="19"/>
              </w:rPr>
              <w:t>+ abstention gate</w:t>
            </w:r>
          </w:p>
        </w:tc>
      </w:tr>
      <w:tr>
        <w:tc>
          <w:tcPr>
            <w:tcW w:type="dxa" w:w="1008"/>
          </w:tcPr>
          <w:p>
            <w:r/>
            <w:r>
              <w:rPr>
                <w:b w:val="0"/>
                <w:sz w:val="19"/>
              </w:rPr>
              <w:t>A4</w:t>
            </w:r>
          </w:p>
        </w:tc>
        <w:tc>
          <w:tcPr>
            <w:tcW w:type="dxa" w:w="8784"/>
          </w:tcPr>
          <w:p>
            <w:r/>
            <w:r>
              <w:rPr>
                <w:b w:val="0"/>
                <w:sz w:val="19"/>
              </w:rPr>
              <w:t>+ claim classifier and NLI verifier</w:t>
            </w:r>
          </w:p>
        </w:tc>
      </w:tr>
      <w:tr>
        <w:tc>
          <w:tcPr>
            <w:tcW w:type="dxa" w:w="1008"/>
          </w:tcPr>
          <w:p>
            <w:r/>
            <w:r>
              <w:rPr>
                <w:b w:val="0"/>
                <w:sz w:val="19"/>
              </w:rPr>
              <w:t>A5</w:t>
            </w:r>
          </w:p>
        </w:tc>
        <w:tc>
          <w:tcPr>
            <w:tcW w:type="dxa" w:w="8784"/>
          </w:tcPr>
          <w:p>
            <w:r/>
            <w:r>
              <w:rPr>
                <w:b w:val="0"/>
                <w:sz w:val="19"/>
              </w:rPr>
              <w:t>+ citation binding</w:t>
            </w:r>
          </w:p>
        </w:tc>
      </w:tr>
      <w:tr>
        <w:tc>
          <w:tcPr>
            <w:tcW w:type="dxa" w:w="1008"/>
          </w:tcPr>
          <w:p>
            <w:r/>
            <w:r>
              <w:rPr>
                <w:b w:val="0"/>
                <w:sz w:val="19"/>
              </w:rPr>
              <w:t>A6</w:t>
            </w:r>
          </w:p>
        </w:tc>
        <w:tc>
          <w:tcPr>
            <w:tcW w:type="dxa" w:w="8784"/>
          </w:tcPr>
          <w:p>
            <w:r/>
            <w:r>
              <w:rPr>
                <w:b w:val="0"/>
                <w:sz w:val="19"/>
              </w:rPr>
              <w:t>+ fusion-drift detection — the full system</w:t>
            </w:r>
          </w:p>
        </w:tc>
      </w:tr>
    </w:tbl>
    <w:p>
      <w:pPr>
        <w:spacing w:after="80"/>
      </w:pPr>
    </w:p>
    <w:p>
      <w:pPr>
        <w:pStyle w:val="Heading3"/>
      </w:pPr>
      <w:r>
        <w:t>3.2  Human ground truth on both axes — do not compromise here</w:t>
      </w:r>
    </w:p>
    <w:p>
      <w:pPr>
        <w:pStyle w:val="ListBullet"/>
        <w:spacing w:after="60"/>
      </w:pPr>
      <w:r>
        <w:rPr>
          <w:b/>
        </w:rPr>
        <w:t xml:space="preserve">Claim axis: </w:t>
      </w:r>
      <w:r>
        <w:t>400 sentences across arms A1, A4 and A6. For each, given the retrieved context: supported / unsupported / contradicted / not-a-claim, plus a harm rating of none, minor, or potentially harmful. A harm-weighted hallucination rate matters far more to a clinical venue than a raw count.</w:t>
      </w:r>
    </w:p>
    <w:p>
      <w:pPr>
        <w:pStyle w:val="ListBullet"/>
        <w:spacing w:after="60"/>
      </w:pPr>
      <w:r>
        <w:rPr>
          <w:b/>
        </w:rPr>
        <w:t xml:space="preserve">Access axis: </w:t>
      </w:r>
      <w:r>
        <w:t>every refusal the system makes across the 200 questions, roughly 150 of them. For each, given the question and the retrieved context: was the refusal warranted, unnecessary, or borderline? This is the novel part.</w:t>
      </w:r>
    </w:p>
    <w:p>
      <w:pPr>
        <w:pStyle w:val="ListBullet"/>
        <w:spacing w:after="60"/>
      </w:pPr>
      <w:r>
        <w:t>Two annotators, blind to which arm produced each item. Report Cohen's kappa on both label sets, with a third rater adjudicating disagreements. The annotation guideline ships as an appendix — reviewers ask for it.</w:t>
      </w:r>
    </w:p>
    <w:p>
      <w:pPr>
        <w:pStyle w:val="Heading3"/>
      </w:pPr>
      <w:r>
        <w:t>3.3  Kill the circular judge</w:t>
      </w:r>
    </w:p>
    <w:p>
      <w:pPr>
        <w:spacing w:after="120"/>
      </w:pPr>
      <w:r>
        <w:rPr>
          <w:b w:val="0"/>
          <w:i w:val="0"/>
        </w:rPr>
        <w:t>Add a judge that is not your guardrail model — MiniCheck (Tang et al. 2024) is purpose-built, small and runs locally on CPU; AlignScore is the alternative. Then report agreement across all three: your guardrail's NLI, the independent judge, and the human labels. This converts your NLI from "the metric" into "a validated proxy", which is a small contribution in its own right.</w:t>
      </w:r>
    </w:p>
    <w:p>
      <w:pPr>
        <w:pStyle w:val="Heading3"/>
      </w:pPr>
      <w:r>
        <w:t>3.4  Show it is not one model's quirk</w:t>
      </w:r>
    </w:p>
    <w:p>
      <w:pPr>
        <w:spacing w:after="120"/>
      </w:pPr>
      <w:r>
        <w:rPr>
          <w:b w:val="0"/>
          <w:i w:val="0"/>
        </w:rPr>
        <w:t>Replicate A1 versus A6 only, 200 questions, one seed, on a second model family (qwen3.8-27b on Groq, or qwen3-8b locally). About 400 extra generations for a generalization claim.</w:t>
      </w:r>
    </w:p>
    <w:p>
      <w:pPr>
        <w:pStyle w:val="Heading3"/>
      </w:pPr>
      <w:r>
        <w:t>3.5  The central figure</w:t>
      </w:r>
    </w:p>
    <w:p>
      <w:pPr>
        <w:spacing w:after="120"/>
      </w:pPr>
      <w:r>
        <w:rPr>
          <w:b w:val="0"/>
          <w:i w:val="0"/>
        </w:rPr>
        <w:t>Sweep your two key thresholds across a grid and plot harm-weighted hallucination rate against clinician-adjudicated answer rate. Mark your shipped operating point, and mark the before and after positions of the b13bd83 scope-guard relaxation as two points on the same curve. This single figure is the paper — it turns 54.5% over-refusal from an embarrassment into a stated design choice on a measured frontier.</w:t>
      </w:r>
    </w:p>
    <w:p>
      <w:pPr>
        <w:pStyle w:val="Heading2"/>
      </w:pPr>
      <w:r>
        <w:t>Phase 4 — The novel mechanisms (Weeks 10–11)</w:t>
      </w:r>
    </w:p>
    <w:p>
      <w:pPr>
        <w:pStyle w:val="ListBullet"/>
        <w:spacing w:after="60"/>
      </w:pPr>
      <w:r>
        <w:rPr>
          <w:b/>
        </w:rPr>
        <w:t xml:space="preserve">Streaming latency. </w:t>
      </w:r>
      <w:r>
        <w:t>Instrument /query/stream and report distributions, not averages: time-to-first-token, time-to-first-safe-sentence (your real UX metric), total latency, and per-sentence NLI overhead. Your code comment claims "1–2 seconds" — it has never been measured. Measure this on the Groq path, not locally, or CPU speed will confound the result.</w:t>
      </w:r>
    </w:p>
    <w:p>
      <w:pPr>
        <w:pStyle w:val="ListBullet"/>
        <w:spacing w:after="60"/>
      </w:pPr>
      <w:r>
        <w:rPr>
          <w:b/>
        </w:rPr>
        <w:t xml:space="preserve">Fusion-drift diagnostic. </w:t>
      </w:r>
      <w:r>
        <w:t>Build 80 controlled items: 40 compound claims where the conjunction is supported by a single chunk, and 40 where each half is supported by a different chunk but the conjunction is not. Have a clinician verify every label, then report precision, recall and F1. Without this, fusion drift is code, not a contribution.</w:t>
      </w:r>
    </w:p>
    <w:p>
      <w:pPr>
        <w:pStyle w:val="ListBullet"/>
        <w:spacing w:after="60"/>
      </w:pPr>
      <w:r>
        <w:rPr>
          <w:b/>
        </w:rPr>
        <w:t xml:space="preserve">Citation attribution. </w:t>
      </w:r>
      <w:r>
        <w:t>Measure citation precision, citation recall, and the mis-binding rate — sentences supported by some chunk but not by the one they cite. Mis-binding is exactly what citation binding exists to catch, so quantify how often it fires.</w:t>
      </w:r>
    </w:p>
    <w:p>
      <w:pPr>
        <w:pStyle w:val="Heading2"/>
      </w:pPr>
      <w:r>
        <w:t>Phase 5 — The triage layer, done properly (Weeks 12–13)</w:t>
      </w:r>
    </w:p>
    <w:p>
      <w:pPr>
        <w:spacing w:after="40"/>
        <w:ind w:left="173"/>
        <w:shd w:val="clear" w:fill="FFF4E5"/>
      </w:pPr>
      <w:r>
        <w:rPr>
          <w:b/>
          <w:sz w:val="21"/>
        </w:rPr>
        <w:t>Your perfect score is a liability, not an asset</w:t>
      </w:r>
    </w:p>
    <w:p>
      <w:pPr>
        <w:spacing w:after="200"/>
        <w:ind w:left="173"/>
        <w:shd w:val="clear" w:fill="FFF4E5"/>
      </w:pPr>
      <w:r>
        <w:rPr>
          <w:sz w:val="20"/>
        </w:rPr>
        <w:t>73/73 and 58/58 with zero false positives will read to a reviewer as overfitting — and they would be right. Your own log records gold cases being added to cover rules, and all 45 rules have at least one hand-written positive example. As it stands, this measures "the regular expressions match the strings I wrote for them", not clinical sensitivity.</w:t>
        <w:br/>
        <w:br/>
        <w:t>The fix: commission 120 held-out cases from a clinician who has never seen redflag_rules.yaml — 60 positives and 60 hard negatives (deliberate near-misses). Report sensitivity, specificity and dangerous-direction error rate on that set, separately from your development set. Expect the numbers to drop. That is the point: a held-out 0.90 is worth far more than a development 1.00.</w:t>
      </w:r>
    </w:p>
    <w:p>
      <w:pPr>
        <w:pStyle w:val="Heading2"/>
      </w:pPr>
      <w:r>
        <w:t>Phase 6 — Clinician expert review (Weeks 12–14, parallel, optional)</w:t>
      </w:r>
    </w:p>
    <w:p>
      <w:pPr>
        <w:spacing w:after="120"/>
      </w:pPr>
      <w:r>
        <w:rPr>
          <w:b w:val="0"/>
          <w:i w:val="0"/>
        </w:rPr>
        <w:t>50 system responses rated by 3 Nepali clinicians on safety, factual accuracy, usefulness and care-tier appropriateness, plus free-text harm flags. No patient data. Optional by design — never let this gate submission.</w:t>
      </w:r>
    </w:p>
    <w:p>
      <w:pPr>
        <w:pStyle w:val="Heading2"/>
      </w:pPr>
      <w:r>
        <w:t>Phase 7 — Write and submit (Weeks 15–18)</w:t>
      </w:r>
    </w:p>
    <w:p>
      <w:pPr>
        <w:spacing w:after="120"/>
      </w:pPr>
      <w:r>
        <w:rPr>
          <w:b w:val="0"/>
          <w:i w:val="0"/>
        </w:rPr>
        <w:t>Draft in this order: Results → Methods → Related Work → Discussion → Introduction → Abstract. Never write the abstract first; you do not yet know what the numbers say.</w:t>
      </w:r>
    </w:p>
    <w:p>
      <w:pPr>
        <w:spacing w:after="120"/>
      </w:pPr>
      <w:r>
        <w:rPr>
          <w:b w:val="0"/>
          <w:i w:val="0"/>
        </w:rPr>
        <w:t>Five figures: the cascade architecture with the emergency path shown bypassing the LLM entirely; the frontier curve; the ablation waterfall; judge validation with kappa; and latency distributions including time-to-first-safe-sentence.</w:t>
      </w:r>
    </w:p>
    <w:p>
      <w:pPr>
        <w:spacing w:after="120"/>
      </w:pPr>
      <w:r>
        <w:rPr>
          <w:b/>
          <w:i w:val="0"/>
        </w:rPr>
        <w:t xml:space="preserve">One thing you must do in Related Work: </w:t>
      </w:r>
      <w:r>
        <w:rPr>
          <w:b w:val="0"/>
          <w:i w:val="0"/>
        </w:rPr>
        <w:t>explicitly differentiate from Self-RAG and CRAG. They train critique tokens into the generator. You apply an external, model-agnostic, post-hoc cascade that works with any backbone and under streaming. That distinction is your defence against "this is just RAG plus NLI".</w:t>
      </w:r>
    </w:p>
    <w:p>
      <w:r>
        <w:br w:type="page"/>
      </w:r>
    </w:p>
    <w:p>
      <w:pPr>
        <w:pStyle w:val="Heading1"/>
      </w:pPr>
      <w:r>
        <w:t>5. Ethics approval and annotators — what to do and why</w:t>
      </w:r>
    </w:p>
    <w:p>
      <w:pPr>
        <w:pStyle w:val="Heading2"/>
      </w:pPr>
      <w:r>
        <w:t>5.1 The key insight: your paper is not blocked on ethics</w:t>
      </w:r>
    </w:p>
    <w:p>
      <w:pPr>
        <w:spacing w:after="80"/>
      </w:pPr>
      <w:r>
        <w:rPr>
          <w:b w:val="0"/>
          <w:i w:val="0"/>
        </w:rPr>
        <w:t>Three different activities get conflated here, and they have genuinely different requirements:</w:t>
      </w:r>
    </w:p>
    <w:tbl>
      <w:tblPr>
        <w:tblStyle w:val="LightGrid-Accent1"/>
        <w:tblW w:type="auto" w:w="0"/>
        <w:jc w:val="center"/>
        <w:tblLook w:firstColumn="1" w:firstRow="1" w:lastColumn="0" w:lastRow="0" w:noHBand="0" w:noVBand="1" w:val="04A0"/>
      </w:tblPr>
      <w:tblGrid>
        <w:gridCol w:w="3264"/>
        <w:gridCol w:w="3264"/>
        <w:gridCol w:w="3264"/>
      </w:tblGrid>
      <w:tr>
        <w:tc>
          <w:tcPr>
            <w:tcW w:type="dxa" w:w="3456"/>
          </w:tcPr>
          <w:p>
            <w:r/>
            <w:r>
              <w:rPr>
                <w:b/>
                <w:sz w:val="19"/>
              </w:rPr>
              <w:t>Activity</w:t>
            </w:r>
          </w:p>
        </w:tc>
        <w:tc>
          <w:tcPr>
            <w:tcW w:type="dxa" w:w="3168"/>
          </w:tcPr>
          <w:p>
            <w:r/>
            <w:r>
              <w:rPr>
                <w:b/>
                <w:sz w:val="19"/>
              </w:rPr>
              <w:t>Are they research subjects?</w:t>
            </w:r>
          </w:p>
        </w:tc>
        <w:tc>
          <w:tcPr>
            <w:tcW w:type="dxa" w:w="3168"/>
          </w:tcPr>
          <w:p>
            <w:r/>
            <w:r>
              <w:rPr>
                <w:b/>
                <w:sz w:val="19"/>
              </w:rPr>
              <w:t>Likely requirement</w:t>
            </w:r>
          </w:p>
        </w:tc>
      </w:tr>
      <w:tr>
        <w:tc>
          <w:tcPr>
            <w:tcW w:type="dxa" w:w="3456"/>
          </w:tcPr>
          <w:p>
            <w:r/>
            <w:r>
              <w:rPr>
                <w:b w:val="0"/>
                <w:sz w:val="19"/>
              </w:rPr>
              <w:t>Annotators labelling model outputs** (Phase 3.2 — your actual contribution)</w:t>
            </w:r>
          </w:p>
        </w:tc>
        <w:tc>
          <w:tcPr>
            <w:tcW w:type="dxa" w:w="3168"/>
          </w:tcPr>
          <w:p>
            <w:r/>
            <w:r>
              <w:rPr>
                <w:b w:val="0"/>
                <w:sz w:val="19"/>
              </w:rPr>
              <w:t>No.** They are research personnel. You collect no data about them.</w:t>
            </w:r>
          </w:p>
        </w:tc>
        <w:tc>
          <w:tcPr>
            <w:tcW w:type="dxa" w:w="3168"/>
          </w:tcPr>
          <w:p>
            <w:r/>
            <w:r>
              <w:rPr>
                <w:b/>
                <w:sz w:val="19"/>
              </w:rPr>
              <w:t>Probably none. Confirm, but do not wait.</w:t>
            </w:r>
          </w:p>
        </w:tc>
      </w:tr>
      <w:tr>
        <w:tc>
          <w:tcPr>
            <w:tcW w:type="dxa" w:w="3456"/>
          </w:tcPr>
          <w:p>
            <w:r/>
            <w:r>
              <w:rPr>
                <w:b w:val="0"/>
                <w:sz w:val="19"/>
              </w:rPr>
              <w:t>Clinicians giving Likert opinions (Phase 6, optional)</w:t>
            </w:r>
          </w:p>
        </w:tc>
        <w:tc>
          <w:tcPr>
            <w:tcW w:type="dxa" w:w="3168"/>
          </w:tcPr>
          <w:p>
            <w:r/>
            <w:r>
              <w:rPr>
                <w:b w:val="0"/>
                <w:sz w:val="19"/>
              </w:rPr>
              <w:t>Borderline — their opinions are your data</w:t>
            </w:r>
          </w:p>
        </w:tc>
        <w:tc>
          <w:tcPr>
            <w:tcW w:type="dxa" w:w="3168"/>
          </w:tcPr>
          <w:p>
            <w:r/>
            <w:r>
              <w:rPr>
                <w:b w:val="0"/>
                <w:sz w:val="19"/>
              </w:rPr>
              <w:t>Often exempt or expedited. Ask in writing.</w:t>
            </w:r>
          </w:p>
        </w:tc>
      </w:tr>
      <w:tr>
        <w:tc>
          <w:tcPr>
            <w:tcW w:type="dxa" w:w="3456"/>
          </w:tcPr>
          <w:p>
            <w:r/>
            <w:r>
              <w:rPr>
                <w:b w:val="0"/>
                <w:sz w:val="19"/>
              </w:rPr>
              <w:t>A user pilot (not in this plan)</w:t>
            </w:r>
          </w:p>
        </w:tc>
        <w:tc>
          <w:tcPr>
            <w:tcW w:type="dxa" w:w="3168"/>
          </w:tcPr>
          <w:p>
            <w:r/>
            <w:r>
              <w:rPr>
                <w:b w:val="0"/>
                <w:sz w:val="19"/>
              </w:rPr>
              <w:t>Yes — real users, real health questions</w:t>
            </w:r>
          </w:p>
        </w:tc>
        <w:tc>
          <w:tcPr>
            <w:tcW w:type="dxa" w:w="3168"/>
          </w:tcPr>
          <w:p>
            <w:r/>
            <w:r>
              <w:rPr>
                <w:b w:val="0"/>
                <w:sz w:val="19"/>
              </w:rPr>
              <w:t>Full review, consent, data protection plan</w:t>
            </w:r>
          </w:p>
        </w:tc>
      </w:tr>
    </w:tbl>
    <w:p>
      <w:pPr>
        <w:spacing w:after="80"/>
      </w:pPr>
    </w:p>
    <w:p>
      <w:pPr>
        <w:spacing w:after="160"/>
      </w:pPr>
      <w:r>
        <w:rPr>
          <w:b/>
          <w:i w:val="0"/>
        </w:rPr>
        <w:t>So the core contribution is almost certainly unblocked, and Phase 6 is optional. Ethics delay cannot kill this paper. You still ask in Week 1, in writing, because journals require an ethics statement and "we assumed it was exempt" is not one.</w:t>
      </w:r>
    </w:p>
    <w:p>
      <w:pPr>
        <w:pStyle w:val="Heading2"/>
      </w:pPr>
      <w:r>
        <w:t>5.2 NHRC — what it is, why it matters, what to do</w:t>
      </w:r>
    </w:p>
    <w:p>
      <w:pPr>
        <w:spacing w:after="120"/>
      </w:pPr>
      <w:r>
        <w:rPr>
          <w:b/>
          <w:i w:val="0"/>
        </w:rPr>
        <w:t xml:space="preserve">What it is: </w:t>
      </w:r>
      <w:r>
        <w:rPr>
          <w:b w:val="0"/>
          <w:i w:val="0"/>
        </w:rPr>
        <w:t>the Nepal Health Research Council is the national body that reviews health research in Nepal. Its Ethical Review Board issues approval or exemption letters.</w:t>
      </w:r>
    </w:p>
    <w:p>
      <w:pPr>
        <w:spacing w:after="120"/>
      </w:pPr>
      <w:r>
        <w:rPr>
          <w:b/>
          <w:i w:val="0"/>
        </w:rPr>
        <w:t xml:space="preserve">Why it matters: </w:t>
      </w:r>
      <w:r>
        <w:rPr>
          <w:b w:val="0"/>
          <w:i w:val="0"/>
        </w:rPr>
        <w:t>JMIR, AMIA and every medical venue require an ethics statement naming the approving body or the exemption determination. Without one you risk desk rejection — and discovery after publication is far worse.</w:t>
      </w:r>
    </w:p>
    <w:p>
      <w:pPr>
        <w:spacing w:after="80"/>
      </w:pPr>
      <w:r>
        <w:rPr>
          <w:b/>
          <w:i w:val="0"/>
        </w:rPr>
        <w:t>Do this in Week 1:</w:t>
      </w:r>
    </w:p>
    <w:p>
      <w:pPr>
        <w:pStyle w:val="ListNumber"/>
        <w:spacing w:after="60"/>
      </w:pPr>
      <w:r>
        <w:rPr>
          <w:b/>
        </w:rPr>
        <w:t xml:space="preserve">Check your own institution first. </w:t>
      </w:r>
      <w:r>
        <w:t>Most Nepali universities and medical colleges have an Institutional Review Committee, and NHRC often expects institutional review first. For low-risk work an IRC letter may be enough. Ask your supervisor which applies — this one question could save you two months.</w:t>
      </w:r>
    </w:p>
    <w:p>
      <w:pPr>
        <w:pStyle w:val="ListNumber"/>
        <w:spacing w:after="60"/>
      </w:pPr>
      <w:r>
        <w:rPr>
          <w:b/>
        </w:rPr>
        <w:t xml:space="preserve">Email the NHRC ERB secretariat </w:t>
      </w:r>
      <w:r>
        <w:t>via nhrc.gov.np, with a one-page description: title, objective, what data you collect, from whom, how it is stored, risks, and consent process.</w:t>
      </w:r>
    </w:p>
    <w:p>
      <w:pPr>
        <w:pStyle w:val="ListNumber"/>
        <w:spacing w:after="60"/>
      </w:pPr>
      <w:r>
        <w:rPr>
          <w:b/>
        </w:rPr>
        <w:t xml:space="preserve">Ask these three questions explicitly: </w:t>
      </w:r>
      <w:r>
        <w:t>(a) Does having trained annotators label AI-generated text against source documents constitute human-subjects research? (b) Does a clinician expert-review survey with no patient data require full review, expedited review, or is it exempt? (c) Would a future 20–30 user pilot require full review?</w:t>
      </w:r>
    </w:p>
    <w:p>
      <w:pPr>
        <w:pStyle w:val="ListNumber"/>
        <w:spacing w:after="60"/>
      </w:pPr>
      <w:r>
        <w:rPr>
          <w:b/>
        </w:rPr>
        <w:t xml:space="preserve">Get the answer in writing </w:t>
      </w:r>
      <w:r>
        <w:t>and file it. That letter is your ethics statement.</w:t>
      </w:r>
    </w:p>
    <w:p>
      <w:pPr>
        <w:spacing w:after="160"/>
      </w:pPr>
      <w:r>
        <w:rPr>
          <w:b w:val="0"/>
          <w:i/>
        </w:rPr>
        <w:t>Expect 6 to 12 weeks. That is precisely why it goes in Week 1 — and why nothing is allowed to depend on it.</w:t>
      </w:r>
    </w:p>
    <w:p>
      <w:pPr>
        <w:pStyle w:val="Heading2"/>
      </w:pPr>
      <w:r>
        <w:t>5.3 Annotators — who, how many, and the protocol that makes it credible</w:t>
      </w:r>
    </w:p>
    <w:p>
      <w:pPr>
        <w:pStyle w:val="ListBullet"/>
        <w:spacing w:after="60"/>
      </w:pPr>
      <w:r>
        <w:rPr>
          <w:b/>
        </w:rPr>
        <w:t xml:space="preserve">Who: </w:t>
      </w:r>
      <w:r>
        <w:t>MBBS interns, final-year MBBS students, or junior doctors. Not pre-clinical students — they need enough clinical judgment to rate potential harm.</w:t>
      </w:r>
    </w:p>
    <w:p>
      <w:pPr>
        <w:pStyle w:val="ListBullet"/>
        <w:spacing w:after="60"/>
      </w:pPr>
      <w:r>
        <w:rPr>
          <w:b/>
        </w:rPr>
        <w:t xml:space="preserve">How many: </w:t>
      </w:r>
      <w:r>
        <w:t>two independent annotators plus one senior adjudicator for disagreements. Two is the minimum that lets you report kappa, and kappa is what makes the labels credible.</w:t>
      </w:r>
    </w:p>
    <w:p>
      <w:pPr>
        <w:pStyle w:val="ListBullet"/>
        <w:spacing w:after="60"/>
      </w:pPr>
      <w:r>
        <w:rPr>
          <w:b/>
        </w:rPr>
        <w:t xml:space="preserve">Where: </w:t>
      </w:r>
      <w:r>
        <w:t>IOM Maharajgunj (TU), BPKIHS Dharan, KUSMS Dhulikhel, Patan Academy of Health Sciences, NAMS/Bir. Nepal Medical College and KIST as backups. Identify a backup institution now — stalled recruitment is the single most likely thing to wreck your schedule.</w:t>
      </w:r>
    </w:p>
    <w:p>
      <w:pPr>
        <w:pStyle w:val="ListBullet"/>
        <w:spacing w:after="60"/>
      </w:pPr>
      <w:r>
        <w:rPr>
          <w:b/>
        </w:rPr>
        <w:t xml:space="preserve">How to ask: </w:t>
      </w:r>
      <w:r>
        <w:t>be concrete, not vague. "About 6 hours of structured labelling, remote, over two weeks, paid Rs X, with acknowledgement in a publication" works far better than a general request. Route through a department contact or your supervisor rather than cold email.</w:t>
      </w:r>
    </w:p>
    <w:p>
      <w:pPr>
        <w:pStyle w:val="ListBullet"/>
        <w:spacing w:after="60"/>
      </w:pPr>
      <w:r>
        <w:rPr>
          <w:b/>
        </w:rPr>
        <w:t xml:space="preserve">Pay them </w:t>
      </w:r>
      <w:r>
        <w:t>and say so in the paper. Reviewers increasingly check for annotator compensation, and unpaid medical-student labour is an ethics flag.</w:t>
      </w:r>
    </w:p>
    <w:p>
      <w:pPr>
        <w:spacing w:after="80"/>
      </w:pPr>
      <w:r>
        <w:rPr>
          <w:b/>
          <w:i w:val="0"/>
        </w:rPr>
        <w:t>The protocol that makes the labels defensible:</w:t>
      </w:r>
    </w:p>
    <w:p>
      <w:pPr>
        <w:pStyle w:val="ListNumber"/>
        <w:spacing w:after="60"/>
      </w:pPr>
      <w:r>
        <w:t>Write the annotation guideline before recruiting. It ships as an appendix.</w:t>
      </w:r>
    </w:p>
    <w:p>
      <w:pPr>
        <w:pStyle w:val="ListNumber"/>
        <w:spacing w:after="60"/>
      </w:pPr>
      <w:r>
        <w:t>Calibration round: every annotator labels the same 30 items. Compute kappa.</w:t>
      </w:r>
    </w:p>
    <w:p>
      <w:pPr>
        <w:pStyle w:val="ListNumber"/>
        <w:spacing w:after="60"/>
      </w:pPr>
      <w:r>
        <w:t>If kappa is below 0.6, stop. Revise the guideline, discuss the disagreements, recalibrate. Do not proceed to the main set with poor agreement — you cannot fix it afterwards.</w:t>
      </w:r>
    </w:p>
    <w:p>
      <w:pPr>
        <w:pStyle w:val="ListNumber"/>
        <w:spacing w:after="60"/>
      </w:pPr>
      <w:r>
        <w:t>Blind annotators to which arm produced each item. Shuffle and strip identifiers. This is non-negotiable and reviewers look for it.</w:t>
      </w:r>
    </w:p>
    <w:p>
      <w:pPr>
        <w:pStyle w:val="ListNumber"/>
        <w:spacing w:after="60"/>
      </w:pPr>
      <w:r>
        <w:t>Adjudicate disagreements with the third rater, and report both raw and adjudicated numbers.</w:t>
      </w:r>
    </w:p>
    <w:p>
      <w:pPr>
        <w:spacing w:after="120"/>
      </w:pPr>
      <w:r>
        <w:rPr>
          <w:b w:val="0"/>
          <w:i/>
        </w:rPr>
        <w:t>Volume: roughly 550 items across two annotators is about 18 person-hours. Very manageable — budget accordingly.</w:t>
      </w:r>
    </w:p>
    <w:p>
      <w:r>
        <w:br w:type="page"/>
      </w:r>
    </w:p>
    <w:p>
      <w:pPr>
        <w:pStyle w:val="Heading1"/>
      </w:pPr>
      <w:r>
        <w:t>6. How every change gets documented</w:t>
      </w:r>
    </w:p>
    <w:p>
      <w:pPr>
        <w:spacing w:after="160"/>
      </w:pPr>
      <w:r>
        <w:rPr>
          <w:b w:val="0"/>
          <w:i w:val="0"/>
        </w:rPr>
        <w:t>You need to be able to explain and defend every change in this project yourself — in a viva, to a supervisor, and to reviewers. Working code you cannot justify is not useful to you. So documentation is a deliverable here, not a by-product.</w:t>
      </w:r>
    </w:p>
    <w:p>
      <w:pPr>
        <w:spacing w:after="80"/>
      </w:pPr>
      <w:r>
        <w:rPr>
          <w:b w:val="0"/>
          <w:i w:val="0"/>
        </w:rPr>
        <w:t>A single running file, docs/PAPER_WORKLOG.md, updated as work happens rather than reconstructed later. Every entry answers three questions in plain language:</w:t>
      </w:r>
    </w:p>
    <w:p>
      <w:pPr>
        <w:pStyle w:val="ListBullet"/>
        <w:spacing w:after="60"/>
      </w:pPr>
      <w:r>
        <w:rPr>
          <w:b/>
        </w:rPr>
        <w:t xml:space="preserve">What changed — </w:t>
      </w:r>
      <w:r>
        <w:t>which file, and what is different now.</w:t>
      </w:r>
    </w:p>
    <w:p>
      <w:pPr>
        <w:pStyle w:val="ListBullet"/>
        <w:spacing w:after="60"/>
      </w:pPr>
      <w:r>
        <w:rPr>
          <w:b/>
        </w:rPr>
        <w:t xml:space="preserve">Why — </w:t>
      </w:r>
      <w:r>
        <w:t>the problem it solves.</w:t>
      </w:r>
    </w:p>
    <w:p>
      <w:pPr>
        <w:pStyle w:val="ListBullet"/>
        <w:spacing w:after="60"/>
      </w:pPr>
      <w:r>
        <w:rPr>
          <w:b/>
        </w:rPr>
        <w:t xml:space="preserve">Impact on the project — </w:t>
      </w:r>
      <w:r>
        <w:t>what this changes for you and for the paper, not what it changes in the code.</w:t>
      </w:r>
    </w:p>
    <w:p>
      <w:pPr>
        <w:spacing w:after="80"/>
      </w:pPr>
      <w:r>
        <w:rPr>
          <w:b/>
          <w:i w:val="0"/>
        </w:rPr>
        <w:t>Six rules:</w:t>
      </w:r>
    </w:p>
    <w:p>
      <w:pPr>
        <w:pStyle w:val="ListNumber"/>
        <w:spacing w:after="60"/>
      </w:pPr>
      <w:r>
        <w:t>Every entry has What, Why and Impact.</w:t>
      </w:r>
    </w:p>
    <w:p>
      <w:pPr>
        <w:pStyle w:val="ListNumber"/>
        <w:spacing w:after="60"/>
      </w:pPr>
      <w:r>
        <w:t>Plain language. If a technical term is unavoidable, define it once.</w:t>
      </w:r>
    </w:p>
    <w:p>
      <w:pPr>
        <w:pStyle w:val="ListNumber"/>
        <w:spacing w:after="60"/>
      </w:pPr>
      <w:r>
        <w:t>Trade-offs get written down, not silently resolved. When there is a real choice, record the options and why one was picked. These become Methods paragraphs and viva answers.</w:t>
      </w:r>
    </w:p>
    <w:p>
      <w:pPr>
        <w:pStyle w:val="ListNumber"/>
        <w:spacing w:after="60"/>
      </w:pPr>
      <w:r>
        <w:t>Negative results and mistakes get logged too. "We tried X, it was worse, here are the numbers" is paper material and stops you repeating it.</w:t>
      </w:r>
    </w:p>
    <w:p>
      <w:pPr>
        <w:pStyle w:val="ListNumber"/>
        <w:spacing w:after="60"/>
      </w:pPr>
      <w:r>
        <w:t>Every change is also summarised in plain terms in conversation as it is made.</w:t>
      </w:r>
    </w:p>
    <w:p>
      <w:pPr>
        <w:pStyle w:val="ListNumber"/>
        <w:spacing w:after="60"/>
      </w:pPr>
      <w:r>
        <w:t>Nothing is changed silently. If a file is modified, it appears in the worklog.</w:t>
      </w:r>
    </w:p>
    <w:p>
      <w:pPr>
        <w:spacing w:after="160"/>
      </w:pPr>
      <w:r>
        <w:rPr>
          <w:b w:val="0"/>
          <w:i w:val="0"/>
        </w:rPr>
        <w:t>This is not busywork. docs/DOCUMED.md — 8,600 lines of dated provenance — is already one of this project's rarest assets, because it means any threshold in your system can be traced back to a reason. Most projects cannot do that. The worklog continues that discipline through the paper phase, and it feeds directly into your Methods, Limitations and reproducibility sections.</w:t>
      </w:r>
    </w:p>
    <w:p>
      <w:pPr>
        <w:pBdr>
          <w:bottom w:val="single" w:sz="6" w:color="C9D3DC"/>
        </w:pBdr>
        <w:spacing w:after="200"/>
      </w:pPr>
    </w:p>
    <w:p>
      <w:pPr>
        <w:pStyle w:val="Heading1"/>
      </w:pPr>
      <w:r>
        <w:t>7. Risks, and what happens if they land</w:t>
      </w:r>
    </w:p>
    <w:tbl>
      <w:tblPr>
        <w:tblStyle w:val="LightGrid-Accent1"/>
        <w:tblW w:type="auto" w:w="0"/>
        <w:jc w:val="center"/>
        <w:tblLook w:firstColumn="1" w:firstRow="1" w:lastColumn="0" w:lastRow="0" w:noHBand="0" w:noVBand="1" w:val="04A0"/>
      </w:tblPr>
      <w:tblGrid>
        <w:gridCol w:w="4896"/>
        <w:gridCol w:w="4896"/>
      </w:tblGrid>
      <w:tr>
        <w:tc>
          <w:tcPr>
            <w:tcW w:type="dxa" w:w="3312"/>
          </w:tcPr>
          <w:p>
            <w:r/>
            <w:r>
              <w:rPr>
                <w:b/>
                <w:sz w:val="19"/>
              </w:rPr>
              <w:t>Risk</w:t>
            </w:r>
          </w:p>
        </w:tc>
        <w:tc>
          <w:tcPr>
            <w:tcW w:type="dxa" w:w="6480"/>
          </w:tcPr>
          <w:p>
            <w:r/>
            <w:r>
              <w:rPr>
                <w:b/>
                <w:sz w:val="19"/>
              </w:rPr>
              <w:t>What protects you</w:t>
            </w:r>
          </w:p>
        </w:tc>
      </w:tr>
      <w:tr>
        <w:tc>
          <w:tcPr>
            <w:tcW w:type="dxa" w:w="3312"/>
          </w:tcPr>
          <w:p>
            <w:r/>
            <w:r>
              <w:rPr>
                <w:b w:val="0"/>
                <w:sz w:val="19"/>
              </w:rPr>
              <w:t>Supabase vanishes again** — it already did once</w:t>
            </w:r>
          </w:p>
        </w:tc>
        <w:tc>
          <w:tcPr>
            <w:tcW w:type="dxa" w:w="6480"/>
          </w:tcPr>
          <w:p>
            <w:r/>
            <w:r>
              <w:rPr>
                <w:b w:val="0"/>
                <w:sz w:val="19"/>
              </w:rPr>
              <w:t>The Phase 0 local export with embeddings, plus an off-machine copy. After that the corpus is never a single point of failure again.</w:t>
            </w:r>
          </w:p>
        </w:tc>
      </w:tr>
      <w:tr>
        <w:tc>
          <w:tcPr>
            <w:tcW w:type="dxa" w:w="3312"/>
          </w:tcPr>
          <w:p>
            <w:r/>
            <w:r>
              <w:rPr>
                <w:b w:val="0"/>
                <w:sz w:val="19"/>
              </w:rPr>
              <w:t>Local inference turns out too slow</w:t>
            </w:r>
          </w:p>
        </w:tc>
        <w:tc>
          <w:tcPr>
            <w:tcW w:type="dxa" w:w="6480"/>
          </w:tcPr>
          <w:p>
            <w:r/>
            <w:r>
              <w:rPr>
                <w:b w:val="0"/>
                <w:sz w:val="19"/>
              </w:rPr>
              <w:t>Demote local to the determinism subset; bulk moves to free cloud tiers with checkpoint and resume. The plan survives either way.</w:t>
            </w:r>
          </w:p>
        </w:tc>
      </w:tr>
      <w:tr>
        <w:tc>
          <w:tcPr>
            <w:tcW w:type="dxa" w:w="3312"/>
          </w:tcPr>
          <w:p>
            <w:r/>
            <w:r>
              <w:rPr>
                <w:b w:val="0"/>
                <w:sz w:val="19"/>
              </w:rPr>
              <w:t>Groq retires gpt-oss-20b as well</w:t>
            </w:r>
          </w:p>
        </w:tc>
        <w:tc>
          <w:tcPr>
            <w:tcW w:type="dxa" w:w="6480"/>
          </w:tcPr>
          <w:p>
            <w:r/>
            <w:r>
              <w:rPr>
                <w:b w:val="0"/>
                <w:sz w:val="19"/>
              </w:rPr>
              <w:t>Your local weights are hash-pinned and archived. This is exactly why the local path exists.</w:t>
            </w:r>
          </w:p>
        </w:tc>
      </w:tr>
      <w:tr>
        <w:tc>
          <w:tcPr>
            <w:tcW w:type="dxa" w:w="3312"/>
          </w:tcPr>
          <w:p>
            <w:r/>
            <w:r>
              <w:rPr>
                <w:b w:val="0"/>
                <w:sz w:val="19"/>
              </w:rPr>
              <w:t>Free-tier quota runs out mid-experiment</w:t>
            </w:r>
          </w:p>
        </w:tc>
        <w:tc>
          <w:tcPr>
            <w:tcW w:type="dxa" w:w="6480"/>
          </w:tcPr>
          <w:p>
            <w:r/>
            <w:r>
              <w:rPr>
                <w:b w:val="0"/>
                <w:sz w:val="19"/>
              </w:rPr>
              <w:t>Checkpoint and resume from day one, multi-provider failover, and the local path has no quota.</w:t>
            </w:r>
          </w:p>
        </w:tc>
      </w:tr>
      <w:tr>
        <w:tc>
          <w:tcPr>
            <w:tcW w:type="dxa" w:w="3312"/>
          </w:tcPr>
          <w:p>
            <w:r/>
            <w:r>
              <w:rPr>
                <w:b w:val="0"/>
                <w:sz w:val="19"/>
              </w:rPr>
              <w:t>Annotator recruitment stalls</w:t>
            </w:r>
          </w:p>
        </w:tc>
        <w:tc>
          <w:tcPr>
            <w:tcW w:type="dxa" w:w="6480"/>
          </w:tcPr>
          <w:p>
            <w:r/>
            <w:r>
              <w:rPr>
                <w:b w:val="0"/>
                <w:sz w:val="19"/>
              </w:rPr>
              <w:t>Start Week 1, identify a backup institution up front, and let kappa calibration catch quality problems early.</w:t>
            </w:r>
          </w:p>
        </w:tc>
      </w:tr>
      <w:tr>
        <w:tc>
          <w:tcPr>
            <w:tcW w:type="dxa" w:w="3312"/>
          </w:tcPr>
          <w:p>
            <w:r/>
            <w:r>
              <w:rPr>
                <w:b w:val="0"/>
                <w:sz w:val="19"/>
              </w:rPr>
              <w:t>Ethics approval is slow</w:t>
            </w:r>
          </w:p>
        </w:tc>
        <w:tc>
          <w:tcPr>
            <w:tcW w:type="dxa" w:w="6480"/>
          </w:tcPr>
          <w:p>
            <w:r/>
            <w:r>
              <w:rPr>
                <w:b w:val="0"/>
                <w:sz w:val="19"/>
              </w:rPr>
              <w:t>The core contribution is not human-subjects work. Phase 6 is optional.</w:t>
            </w:r>
          </w:p>
        </w:tc>
      </w:tr>
      <w:tr>
        <w:tc>
          <w:tcPr>
            <w:tcW w:type="dxa" w:w="3312"/>
          </w:tcPr>
          <w:p>
            <w:r/>
            <w:r>
              <w:rPr>
                <w:b w:val="0"/>
                <w:sz w:val="19"/>
              </w:rPr>
              <w:t>Held-out red-flag numbers drop sharply</w:t>
            </w:r>
          </w:p>
        </w:tc>
        <w:tc>
          <w:tcPr>
            <w:tcW w:type="dxa" w:w="6480"/>
          </w:tcPr>
          <w:p>
            <w:r/>
            <w:r>
              <w:rPr>
                <w:b w:val="0"/>
                <w:sz w:val="19"/>
              </w:rPr>
              <w:t>Expected and correct. Report development and held-out separately.</w:t>
            </w:r>
          </w:p>
        </w:tc>
      </w:tr>
      <w:tr>
        <w:tc>
          <w:tcPr>
            <w:tcW w:type="dxa" w:w="3312"/>
          </w:tcPr>
          <w:p>
            <w:r/>
            <w:r>
              <w:rPr>
                <w:b/>
                <w:sz w:val="19"/>
              </w:rPr>
              <w:t>The results come out weaker than you hoped</w:t>
            </w:r>
          </w:p>
        </w:tc>
        <w:tc>
          <w:tcPr>
            <w:tcW w:type="dxa" w:w="6480"/>
          </w:tcPr>
          <w:p>
            <w:r/>
            <w:r>
              <w:rPr>
                <w:b w:val="0"/>
                <w:sz w:val="19"/>
              </w:rPr>
              <w:t>The frontier framing is built for exactly this. A rigorous modest result with a clean curve is publishable; an unsupported strong claim is not. Decide now that you will report what you find.</w:t>
            </w:r>
          </w:p>
        </w:tc>
      </w:tr>
      <w:tr>
        <w:tc>
          <w:tcPr>
            <w:tcW w:type="dxa" w:w="3312"/>
          </w:tcPr>
          <w:p>
            <w:r/>
            <w:r>
              <w:rPr>
                <w:b w:val="0"/>
                <w:sz w:val="19"/>
              </w:rPr>
              <w:t>Reviewer says "this is just RAG plus NLI"</w:t>
            </w:r>
          </w:p>
        </w:tc>
        <w:tc>
          <w:tcPr>
            <w:tcW w:type="dxa" w:w="6480"/>
          </w:tcPr>
          <w:p>
            <w:r/>
            <w:r>
              <w:rPr>
                <w:b w:val="0"/>
                <w:sz w:val="19"/>
              </w:rPr>
              <w:t>Contributions 1 and 2: clinician-adjudicated refusal ground truth, and streaming-safe guardrailing, each with a dedicated evaluation.</w:t>
            </w:r>
          </w:p>
        </w:tc>
      </w:tr>
      <w:tr>
        <w:tc>
          <w:tcPr>
            <w:tcW w:type="dxa" w:w="3312"/>
          </w:tcPr>
          <w:p>
            <w:r/>
            <w:r>
              <w:rPr>
                <w:b w:val="0"/>
                <w:sz w:val="19"/>
              </w:rPr>
              <w:t>Reviewer checks the corpus and finds it is 82% MedlinePlus</w:t>
            </w:r>
          </w:p>
        </w:tc>
        <w:tc>
          <w:tcPr>
            <w:tcW w:type="dxa" w:w="6480"/>
          </w:tcPr>
          <w:p>
            <w:r/>
            <w:r>
              <w:rPr>
                <w:b w:val="0"/>
                <w:sz w:val="19"/>
              </w:rPr>
              <w:t>Pre-empt it. State the composition in Table 1 and frame Nepal as a routing-layer contribution. Never let a reviewer discover this for you.</w:t>
            </w:r>
          </w:p>
        </w:tc>
      </w:tr>
      <w:tr>
        <w:tc>
          <w:tcPr>
            <w:tcW w:type="dxa" w:w="3312"/>
          </w:tcPr>
          <w:p>
            <w:r/>
            <w:r>
              <w:rPr>
                <w:b w:val="0"/>
                <w:sz w:val="19"/>
              </w:rPr>
              <w:t>Scope creep back into product work</w:t>
            </w:r>
          </w:p>
        </w:tc>
        <w:tc>
          <w:tcPr>
            <w:tcW w:type="dxa" w:w="6480"/>
          </w:tcPr>
          <w:p>
            <w:r/>
            <w:r>
              <w:rPr>
                <w:b w:val="0"/>
                <w:sz w:val="19"/>
              </w:rPr>
              <w:t>Freeze at paper-v1. Product bugs go to a branch. Paper numbers come from tags.</w:t>
            </w:r>
          </w:p>
        </w:tc>
      </w:tr>
    </w:tbl>
    <w:p>
      <w:pPr>
        <w:spacing w:after="80"/>
      </w:pPr>
    </w:p>
    <w:p>
      <w:r>
        <w:br w:type="page"/>
      </w:r>
    </w:p>
    <w:p>
      <w:pPr>
        <w:pStyle w:val="Heading1"/>
      </w:pPr>
      <w:r>
        <w:t>8. The way forward — what happens next</w:t>
      </w:r>
    </w:p>
    <w:p>
      <w:pPr>
        <w:pStyle w:val="Heading2"/>
      </w:pPr>
      <w:r>
        <w:t>What I need from you</w:t>
      </w:r>
    </w:p>
    <w:p>
      <w:pPr>
        <w:spacing w:after="120"/>
      </w:pPr>
      <w:r>
        <w:rPr>
          <w:b w:val="0"/>
          <w:i/>
          <w:color w:val="1B6B3A"/>
        </w:rPr>
        <w:t>Already done — thank you: Supabase is restored and the manifest folder is recovered.</w:t>
      </w:r>
    </w:p>
    <w:p>
      <w:pPr>
        <w:spacing w:after="80"/>
      </w:pPr>
      <w:r>
        <w:rPr>
          <w:b/>
          <w:i w:val="0"/>
        </w:rPr>
        <w:t>Start this week, in parallel with the technical work:</w:t>
      </w:r>
    </w:p>
    <w:p>
      <w:pPr>
        <w:pStyle w:val="ListNumber"/>
        <w:spacing w:after="60"/>
      </w:pPr>
      <w:r>
        <w:rPr>
          <w:b/>
        </w:rPr>
        <w:t xml:space="preserve">Ask your supervisor about ethics review — </w:t>
      </w:r>
      <w:r>
        <w:t>ask which applies to you, an institutional review committee or NHRC directly. This one question can save two months.</w:t>
      </w:r>
    </w:p>
    <w:p>
      <w:pPr>
        <w:pStyle w:val="ListNumber"/>
        <w:spacing w:after="60"/>
      </w:pPr>
      <w:r>
        <w:rPr>
          <w:b/>
        </w:rPr>
        <w:t xml:space="preserve">Email NHRC </w:t>
      </w:r>
      <w:r>
        <w:t>with the three questions in section 5.2.</w:t>
      </w:r>
    </w:p>
    <w:p>
      <w:pPr>
        <w:pStyle w:val="ListNumber"/>
        <w:spacing w:after="60"/>
      </w:pPr>
      <w:r>
        <w:rPr>
          <w:b/>
        </w:rPr>
        <w:t xml:space="preserve">Start annotator outreach. </w:t>
      </w:r>
      <w:r>
        <w:t>You need two plus an adjudicator. Sending those emails in Week 1 rather than Week 5 is the difference between the core contribution landing and not landing.</w:t>
      </w:r>
    </w:p>
    <w:p>
      <w:pPr>
        <w:pStyle w:val="ListNumber"/>
        <w:spacing w:after="60"/>
      </w:pPr>
      <w:r>
        <w:rPr>
          <w:b/>
        </w:rPr>
        <w:t xml:space="preserve">Rotate </w:t>
      </w:r>
      <w:r>
        <w:t>the five sitting in .env comments.</w:t>
      </w:r>
    </w:p>
    <w:p>
      <w:pPr>
        <w:pStyle w:val="Heading2"/>
      </w:pPr>
      <w:r>
        <w:t>What I will do, in order</w:t>
      </w:r>
    </w:p>
    <w:p>
      <w:pPr>
        <w:pStyle w:val="ListNumber"/>
        <w:spacing w:after="60"/>
      </w:pPr>
      <w:r>
        <w:rPr>
          <w:b/>
        </w:rPr>
        <w:t xml:space="preserve">Back up the corpus: </w:t>
      </w:r>
      <w:r>
        <w:t>all 1,009 documents and 3,816 chunks including embeddings, to local disk plus an off-machine copy. Pure insurance — changes nothing about how your system behaves.</w:t>
      </w:r>
    </w:p>
    <w:p>
      <w:pPr>
        <w:pStyle w:val="ListNumber"/>
        <w:spacing w:after="60"/>
      </w:pPr>
      <w:r>
        <w:rPr>
          <w:b/>
        </w:rPr>
        <w:t xml:space="preserve">Commit the manifests: </w:t>
      </w:r>
      <w:r>
        <w:t>the 224 recovered source URLs. Without them the corpus can never be rebuilt if it is lost again. Also changes nothing about behaviour.</w:t>
      </w:r>
    </w:p>
    <w:p>
      <w:pPr>
        <w:pStyle w:val="ListNumber"/>
        <w:spacing w:after="60"/>
      </w:pPr>
      <w:r>
        <w:rPr>
          <w:b/>
        </w:rPr>
        <w:t xml:space="preserve">Fix the scope-guard safety hole: </w:t>
      </w:r>
      <w:r>
        <w:t>capture the broken behaviour as dated evidence first, then fix it, then measure what the fix costs in over-refusal. This is the first real behaviour change, and I will show you the before and after numbers.</w:t>
      </w:r>
    </w:p>
    <w:p>
      <w:pPr>
        <w:pStyle w:val="ListNumber"/>
        <w:spacing w:after="60"/>
      </w:pPr>
      <w:r>
        <w:rPr>
          <w:b/>
        </w:rPr>
        <w:t xml:space="preserve">Get CI green: </w:t>
      </w:r>
      <w:r>
        <w:t>57 of 58 tests pass now; the failing one is the scope-guard bug above, so fixing it should close both.</w:t>
      </w:r>
    </w:p>
    <w:p>
      <w:pPr>
        <w:pStyle w:val="ListNumber"/>
        <w:spacing w:after="60"/>
      </w:pPr>
      <w:r>
        <w:rPr>
          <w:b/>
        </w:rPr>
        <w:t xml:space="preserve">Open docs/PAPER_WORKLOG.md </w:t>
      </w:r>
      <w:r>
        <w:t>so every change from here carries its What, Why and Impact.</w:t>
      </w:r>
    </w:p>
    <w:p>
      <w:pPr>
        <w:spacing w:after="40"/>
        <w:ind w:left="173"/>
        <w:shd w:val="clear" w:fill="FDECEC"/>
      </w:pPr>
      <w:r>
        <w:rPr>
          <w:b/>
          <w:sz w:val="21"/>
        </w:rPr>
        <w:t>The one thing worth doing immediately regardless</w:t>
      </w:r>
    </w:p>
    <w:p>
      <w:pPr>
        <w:spacing w:after="200"/>
        <w:ind w:left="173"/>
        <w:shd w:val="clear" w:fill="FDECEC"/>
      </w:pPr>
      <w:r>
        <w:rPr>
          <w:sz w:val="20"/>
        </w:rPr>
        <w:t>Back up the corpus. That Supabase project disappeared once already. Steps 1 and 2 change nothing about how your system behaves — they only make sure that if it happens again, it costs you an afternoon instead of the project.</w:t>
      </w:r>
    </w:p>
    <w:p>
      <w:pPr>
        <w:pBdr>
          <w:bottom w:val="single" w:sz="6" w:color="C9D3DC"/>
        </w:pBdr>
        <w:spacing w:after="200"/>
      </w:pPr>
    </w:p>
    <w:p>
      <w:pPr>
        <w:spacing w:after="120"/>
      </w:pPr>
      <w:r>
        <w:rPr>
          <w:b w:val="0"/>
          <w:i/>
          <w:color w:val="555F6B"/>
          <w:sz w:val="18"/>
        </w:rPr>
        <w:t>Full technical plan with file paths, line numbers and exact commands: ~/.claude/plans/i-have-a-folder-virtual-kahan.md</w:t>
      </w:r>
    </w:p>
    <w:p>
      <w:pPr>
        <w:spacing w:after="120"/>
      </w:pPr>
      <w:r>
        <w:rPr>
          <w:b w:val="0"/>
          <w:i/>
          <w:color w:val="555F6B"/>
          <w:sz w:val="18"/>
        </w:rPr>
        <w:t>This document is generated by docs/build_paper_plan_docx.py. Edit that script and re-run it rather than editing the .docx by hand.</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5C8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B5C8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2272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