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jc w:val="center"/>
      </w:pPr>
      <w:r>
        <w:rPr>
          <w:rFonts w:ascii="Arial" w:cs="Arial" w:eastAsia="Arial" w:hAnsi="Arial"/>
          <w:color w:val="718096"/>
          <w:spacing w:val="200"/>
          <w:sz w:val="24"/>
          <w:szCs w:val="24"/>
        </w:rPr>
        <w:t xml:space="preserve">SCHOLARLY PLATFORM</w:t>
      </w:r>
    </w:p>
    <w:p>
      <w:pPr>
        <w:spacing w:before="200" w:after="0"/>
      </w:pPr>
    </w:p>
    <w:p>
      <w:pPr>
        <w:jc w:val="center"/>
      </w:pPr>
      <w:r>
        <w:rPr>
          <w:rFonts w:ascii="Arial" w:cs="Arial" w:eastAsia="Arial" w:hAnsi="Arial"/>
          <w:b/>
          <w:bCs/>
          <w:color w:val="1A365D"/>
          <w:sz w:val="48"/>
          <w:szCs w:val="48"/>
        </w:rPr>
        <w:t xml:space="preserve">Self-Composing Interface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6CB0" w:sz="6"/>
              <w:left w:val="none"/>
              <w:bottom w:val="single" w:color="2B6CB0" w:sz="6"/>
              <w:right w:val="none"/>
            </w:tcBorders>
            <w:tcMar>
              <w:top w:type="dxa" w:w="160"/>
              <w:left w:type="dxa" w:w="200"/>
              <w:bottom w:type="dxa" w:w="160"/>
              <w:right w:type="dxa" w:w="200"/>
            </w:tcMar>
          </w:tcPr>
          <w:p>
            <w:pPr>
              <w:jc w:val="center"/>
            </w:pPr>
            <w:r>
              <w:rPr>
                <w:rFonts w:ascii="Arial" w:cs="Arial" w:eastAsia="Arial" w:hAnsi="Arial"/>
                <w:b/>
                <w:bCs/>
                <w:color w:val="2B6CB0"/>
                <w:sz w:val="28"/>
                <w:szCs w:val="28"/>
              </w:rPr>
              <w:t xml:space="preserve">PHASE 3 HANDOFF DOCUMENT</w:t>
            </w:r>
          </w:p>
        </w:tc>
      </w:tr>
    </w:tbl>
    <w:p>
      <w:pPr>
        <w:spacing w:before="200" w:after="0"/>
      </w:pPr>
    </w:p>
    <w:p>
      <w:pPr>
        <w:jc w:val="center"/>
      </w:pPr>
      <w:r>
        <w:rPr>
          <w:rFonts w:ascii="Arial" w:cs="Arial" w:eastAsia="Arial" w:hAnsi="Arial"/>
          <w:color w:val="718096"/>
          <w:sz w:val="24"/>
          <w:szCs w:val="24"/>
        </w:rPr>
        <w:t xml:space="preserve">The Seed Engine: AI-Powered Contextual Suggestions</w:t>
      </w:r>
    </w:p>
    <w:p>
      <w:pPr>
        <w:spacing w:before="100" w:after="0"/>
      </w:pPr>
    </w:p>
    <w:p>
      <w:pPr>
        <w:jc w:val="center"/>
      </w:pPr>
      <w:r>
        <w:rPr>
          <w:rFonts w:ascii="Arial" w:cs="Arial" w:eastAsia="Arial" w:hAnsi="Arial"/>
          <w:color w:val="718096"/>
          <w:sz w:val="22"/>
          <w:szCs w:val="22"/>
        </w:rPr>
        <w:t xml:space="preserve">February 2026</w:t>
      </w:r>
    </w:p>
    <w:p>
      <w:pPr>
        <w:spacing w:before="6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63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Phase</w:t>
            </w:r>
          </w:p>
        </w:tc>
        <w:tc>
          <w:tcPr>
            <w:tcW w:type="dxa" w:w="6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3 of 6</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Status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COMPLETE</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Files Delivered</w:t>
            </w:r>
          </w:p>
        </w:tc>
        <w:tc>
          <w:tcPr>
            <w:tcW w:type="dxa" w:w="6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6 (types, 2 configs, service, tests, hook)</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Total Lines</w:t>
            </w:r>
          </w:p>
        </w:tc>
        <w:tc>
          <w:tcPr>
            <w:tcW w:type="dxa" w:w="6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3,294 (360 + 526 + 552 + 693 + 657 + 506)</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Test Cases</w:t>
            </w:r>
          </w:p>
        </w:tc>
        <w:tc>
          <w:tcPr>
            <w:tcW w:type="dxa" w:w="6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56 across 11 test groups</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Spec Coverage</w:t>
            </w:r>
          </w:p>
        </w:tc>
        <w:tc>
          <w:tcPr>
            <w:tcW w:type="dxa" w:w="6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Sections 12 (seed engine), 12.1 (scoring), 12.2 (temporal), 13 (usage)</w:t>
            </w:r>
          </w:p>
        </w:tc>
      </w:tr>
      <w:tr>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Dependencies</w:t>
            </w:r>
          </w:p>
        </w:tc>
        <w:tc>
          <w:tcPr>
            <w:tcW w:type="dxa" w:w="6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Phase 1 (store.addSeeds), Phase 2 (toast for seed feedback)</w:t>
            </w:r>
          </w:p>
        </w:tc>
      </w:tr>
      <w:tr>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Backward Compatibility</w:t>
            </w:r>
          </w:p>
        </w:tc>
        <w:tc>
          <w:tcPr>
            <w:tcW w:type="dxa" w:w="6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Fully preserved — additive only, no existing APIs changed</w:t>
            </w:r>
          </w:p>
        </w:tc>
      </w:tr>
    </w:tbl>
    <w:p>
      <w:r>
        <w:br w:type="page"/>
      </w:r>
    </w:p>
    <w:p>
      <w:pPr>
        <w:pStyle w:val="Heading1"/>
        <w:spacing w:before="300" w:after="200"/>
      </w:pPr>
      <w:r>
        <w:rPr>
          <w:rFonts w:ascii="Arial" w:cs="Arial" w:eastAsia="Arial" w:hAnsi="Arial"/>
          <w:b/>
          <w:bCs/>
          <w:color w:val="1A365D"/>
          <w:sz w:val="32"/>
          <w:szCs w:val="32"/>
        </w:rPr>
        <w:t xml:space="preserve">1. Executive Summary</w:t>
      </w:r>
    </w:p>
    <w:p>
      <w:pPr>
        <w:spacing w:before="80" w:after="80"/>
      </w:pPr>
      <w:r>
        <w:rPr>
          <w:rFonts w:ascii="Arial" w:cs="Arial" w:eastAsia="Arial" w:hAnsi="Arial"/>
          <w:color w:val="1A202C"/>
          <w:sz w:val="22"/>
          <w:szCs w:val="22"/>
        </w:rPr>
        <w:t xml:space="preserve">Phase 3 delivers the intelligence behind the self-composing interface’s “Suggested for you” section. Where Phases 1 and 2 built a menu that grows reactively through user action, Phase 3 adds proactive anticipation — the system now predicts what the user needs before they navigate, surfacing 2–4 contextually relevant suggestions each session.</w:t>
      </w:r>
    </w:p>
    <w:p>
      <w:pPr>
        <w:spacing w:before="60" w:after="0"/>
      </w:pPr>
    </w:p>
    <w:p>
      <w:pPr>
        <w:spacing w:before="80" w:after="80"/>
      </w:pPr>
      <w:r>
        <w:rPr>
          <w:rFonts w:ascii="Arial" w:cs="Arial" w:eastAsia="Arial" w:hAnsi="Arial"/>
          <w:color w:val="1A202C"/>
          <w:sz w:val="22"/>
          <w:szCs w:val="22"/>
        </w:rPr>
        <w:t xml:space="preserve">Think of the progression like a personal assistant learning your routine. Phase 1 gave you a desk that remembers which drawers you open. Phase 2 added a polite voice that tells you when the desk rearranges itself. Phase 3 is the assistant who sees you arrive on Monday morning, notices it’s the start of term, and places the attendance register, the timetable, and a student alert folder on your desk before you even sit down.</w:t>
      </w:r>
    </w:p>
    <w:p>
      <w:pPr>
        <w:spacing w:before="60" w:after="0"/>
      </w:pPr>
    </w:p>
    <w:p>
      <w:pPr>
        <w:spacing w:before="80" w:after="80"/>
      </w:pPr>
      <w:r>
        <w:rPr>
          <w:rFonts w:ascii="Arial" w:cs="Arial" w:eastAsia="Arial" w:hAnsi="Arial"/>
          <w:color w:val="1A202C"/>
          <w:sz w:val="22"/>
          <w:szCs w:val="22"/>
        </w:rPr>
        <w:t xml:space="preserve">The engine evaluates every eligible task from the 52-task taxonomy against five weighted signals: role affinity (0.25), temporal context (0.30), usage history (0.20), institutional events (0.15), and peer adoption patterns (0.10). Tasks scoring above the 0.3 threshold become seed candidates. A diversity filter ensures suggestions span different task clusters, preventing the menu from fixating on a single domain.</w:t>
      </w:r>
    </w:p>
    <w:p>
      <w:r>
        <w:br w:type="page"/>
      </w:r>
    </w:p>
    <w:p>
      <w:pPr>
        <w:pStyle w:val="Heading1"/>
        <w:spacing w:before="300" w:after="200"/>
      </w:pPr>
      <w:r>
        <w:rPr>
          <w:rFonts w:ascii="Arial" w:cs="Arial" w:eastAsia="Arial" w:hAnsi="Arial"/>
          <w:b/>
          <w:bCs/>
          <w:color w:val="1A365D"/>
          <w:sz w:val="32"/>
          <w:szCs w:val="32"/>
        </w:rPr>
        <w:t xml:space="preserve">2.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00"/>
        <w:gridCol w:w="5360"/>
      </w:tblGrid>
      <w:tr>
        <w:trPr>
          <w:tblHeader/>
        </w:trPr>
        <w:tc>
          <w:tcPr>
            <w:tcW w:type="dxa" w:w="2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53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seed-engine-types.ts</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src/types/</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360</w:t>
            </w:r>
          </w:p>
        </w:tc>
        <w:tc>
          <w:tcPr>
            <w:tcW w:type="dxa" w:w="5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Type definitions: signal weights, scoring interfaces, input/output shapes, institutional events, peer patterns, onboarding profile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role-affinity-matrix.ts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src/config/</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526</w:t>
            </w:r>
          </w:p>
        </w:tc>
        <w:tc>
          <w:tcPr>
            <w:tcW w:type="dxa" w:w="5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Static matrix mapping all 52+ tasks to role affinity scores (0.0–1.0). Includes onboarding interest boosts, early-years boosts, competitive boosts, language boosts, and incomplete profile boosts</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temporal-heuristics.ts</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src/config/</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552</w:t>
            </w:r>
          </w:p>
        </w:tc>
        <w:tc>
          <w:tcPr>
            <w:tcW w:type="dxa" w:w="5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Time-of-day scoring per role across 7 time blocks. Weekend modifiers. Term-week modifiers for start/mid/end of term. Utility functions for time resolution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seed-engine.service.ts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src/services/</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693</w:t>
            </w:r>
          </w:p>
        </w:tc>
        <w:tc>
          <w:tcPr>
            <w:tcW w:type="dxa" w:w="5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Core scoring algorithm: 5 signal functions, eligibility filter, diversity enforcement, reason generation. Pure function — no side effects, fully testable</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seed-engine.test.ts</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src/services/</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657</w:t>
            </w:r>
          </w:p>
        </w:tc>
        <w:tc>
          <w:tcPr>
            <w:tcW w:type="dxa" w:w="5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56 test cases across 11 groups: eligibility, all 5 signals, composite scoring, diversity, 5 persona-based integration scenarios, edge cases, utility validation, matrix integrity</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use-seed-engine.ts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src/hooks/</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506</w:t>
            </w:r>
          </w:p>
        </w:tc>
        <w:tc>
          <w:tcPr>
            <w:tcW w:type="dxa" w:w="5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React hook: session-start trigger, visibility-change detection, parallel async data fetching, role normalisation, temporal context builder, store integration via addSeeds()</w:t>
            </w:r>
          </w:p>
        </w:tc>
      </w:tr>
    </w:tbl>
    <w:p>
      <w:r>
        <w:br w:type="page"/>
      </w:r>
    </w:p>
    <w:p>
      <w:pPr>
        <w:pStyle w:val="Heading1"/>
        <w:spacing w:before="300" w:after="200"/>
      </w:pPr>
      <w:r>
        <w:rPr>
          <w:rFonts w:ascii="Arial" w:cs="Arial" w:eastAsia="Arial" w:hAnsi="Arial"/>
          <w:b/>
          <w:bCs/>
          <w:color w:val="1A365D"/>
          <w:sz w:val="32"/>
          <w:szCs w:val="32"/>
        </w:rPr>
        <w:t xml:space="preserve">3. Signal Architecture</w:t>
      </w:r>
    </w:p>
    <w:p>
      <w:pPr>
        <w:spacing w:before="80" w:after="80"/>
      </w:pPr>
      <w:r>
        <w:rPr>
          <w:rFonts w:ascii="Arial" w:cs="Arial" w:eastAsia="Arial" w:hAnsi="Arial"/>
          <w:color w:val="1A202C"/>
          <w:sz w:val="22"/>
          <w:szCs w:val="22"/>
        </w:rPr>
        <w:t xml:space="preserve">The seed engine’s composite score is a weighted sum of five independent signal functions. Each signal captures a different facet of relevance, and the weights reflect the relative importance determined during the specification process. The temporal signal carries the most weight (0.30) because the right tool at the right time is the engine’s primary value proposition.</w:t>
      </w:r>
    </w:p>
    <w:p>
      <w:pPr>
        <w:spacing w:before="120" w:after="0"/>
      </w:pPr>
    </w:p>
    <w:p>
      <w:pPr>
        <w:pStyle w:val="Heading2"/>
        <w:spacing w:before="240" w:after="160"/>
      </w:pPr>
      <w:r>
        <w:rPr>
          <w:rFonts w:ascii="Arial" w:cs="Arial" w:eastAsia="Arial" w:hAnsi="Arial"/>
          <w:b/>
          <w:bCs/>
          <w:color w:val="2B6CB0"/>
          <w:sz w:val="28"/>
          <w:szCs w:val="28"/>
        </w:rPr>
        <w:t xml:space="preserve">3.1 Signal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800"/>
        <w:gridCol w:w="4460"/>
      </w:tblGrid>
      <w:tr>
        <w:trPr>
          <w:tblHeader/>
        </w:trPr>
        <w:tc>
          <w:tcPr>
            <w:tcW w:type="dxa" w:w="14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7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28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Data Source</w:t>
            </w:r>
          </w:p>
        </w:tc>
        <w:tc>
          <w:tcPr>
            <w:tcW w:type="dxa" w:w="44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What It Captures</w:t>
            </w:r>
          </w:p>
        </w:tc>
      </w:tr>
      <w:tr>
        <w:tc>
          <w:tcPr>
            <w:tcW w:type="dxa" w:w="1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Role Match</w:t>
            </w:r>
          </w:p>
        </w:tc>
        <w:tc>
          <w:tcPr>
            <w:tcW w:type="dxa" w:w="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0.25</w:t>
            </w:r>
          </w:p>
        </w:tc>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Static affinity matrix + onboarding profile</w:t>
            </w:r>
          </w:p>
        </w:tc>
        <w:tc>
          <w:tcPr>
            <w:tcW w:type="dxa" w:w="44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Inherent task-role fit. Teacher + Attendance = 1.0. Boosted by onboarding interests.</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Temporal Match</w:t>
            </w:r>
          </w:p>
        </w:tc>
        <w:tc>
          <w:tcPr>
            <w:tcW w:type="dxa" w:w="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0.30</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Time-of-day heuristics + term-week modifiers</w:t>
            </w:r>
          </w:p>
        </w:tc>
        <w:tc>
          <w:tcPr>
            <w:tcW w:type="dxa" w:w="44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What the user should be doing right now. Teacher at 8 AM = Attendance. Parent at 6 PM = Progress.</w:t>
            </w:r>
          </w:p>
        </w:tc>
      </w:tr>
      <w:tr>
        <w:tc>
          <w:tcPr>
            <w:tcW w:type="dxa" w:w="1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History Match</w:t>
            </w:r>
          </w:p>
        </w:tc>
        <w:tc>
          <w:tcPr>
            <w:tcW w:type="dxa" w:w="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0.20</w:t>
            </w:r>
          </w:p>
        </w:tc>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Menu state store (useCount, lastUsed, source)</w:t>
            </w:r>
          </w:p>
        </w:tc>
        <w:tc>
          <w:tcPr>
            <w:tcW w:type="dxa" w:w="44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Tasks the user engages with but hasn’t committed to. The “near miss” signal.</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Institutional Match</w:t>
            </w:r>
          </w:p>
        </w:tc>
        <w:tc>
          <w:tcPr>
            <w:tcW w:type="dxa" w:w="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0.15</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School calendar events API</w:t>
            </w:r>
          </w:p>
        </w:tc>
        <w:tc>
          <w:tcPr>
            <w:tcW w:type="dxa" w:w="44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School-level context. NAPLAN week boosts Reports. Term start boosts Timetable setup.</w:t>
            </w:r>
          </w:p>
        </w:tc>
      </w:tr>
      <w:tr>
        <w:tc>
          <w:tcPr>
            <w:tcW w:type="dxa" w:w="1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Peer Match</w:t>
            </w:r>
          </w:p>
        </w:tc>
        <w:tc>
          <w:tcPr>
            <w:tcW w:type="dxa" w:w="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0.10</w:t>
            </w:r>
          </w:p>
        </w:tc>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Anonymised MenuAnalyticsDaily aggregation</w:t>
            </w:r>
          </w:p>
        </w:tc>
        <w:tc>
          <w:tcPr>
            <w:tcW w:type="dxa" w:w="44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What similar users are doing. 80% of Year 5 teachers use Lesson Planner in week 1.</w:t>
            </w:r>
          </w:p>
        </w:tc>
      </w:tr>
    </w:tbl>
    <w:p>
      <w:pPr>
        <w:spacing w:before="120" w:after="0"/>
      </w:pPr>
    </w:p>
    <w:p>
      <w:pPr>
        <w:pStyle w:val="Heading2"/>
        <w:spacing w:before="240" w:after="160"/>
      </w:pPr>
      <w:r>
        <w:rPr>
          <w:rFonts w:ascii="Arial" w:cs="Arial" w:eastAsia="Arial" w:hAnsi="Arial"/>
          <w:b/>
          <w:bCs/>
          <w:color w:val="2B6CB0"/>
          <w:sz w:val="28"/>
          <w:szCs w:val="28"/>
        </w:rPr>
        <w:t xml:space="preserve">3.2 Scoring Pipeline</w:t>
      </w:r>
    </w:p>
    <w:p>
      <w:pPr>
        <w:spacing w:before="80" w:after="80"/>
      </w:pPr>
      <w:r>
        <w:rPr>
          <w:rFonts w:ascii="Arial" w:cs="Arial" w:eastAsia="Arial" w:hAnsi="Arial"/>
          <w:color w:val="1A202C"/>
          <w:sz w:val="22"/>
          <w:szCs w:val="22"/>
        </w:rPr>
        <w:t xml:space="preserve">The engine processes candidates through a 7-step pipeline: (1) enumerate all task refs from the affinity matrix, (2) filter to eligible candidates, (3) compute raw scores for each of the 5 signals, (4) multiply by weights, (5) filter above the 0.3 threshold, (6) sort by composite score descending, and (7) apply the diversity filter (max 2 seeds per task cluster). The result includes signal breakdowns for every candidate, enabling transparency logging and analytics.</w:t>
      </w:r>
    </w:p>
    <w:p>
      <w:r>
        <w:br w:type="page"/>
      </w:r>
    </w:p>
    <w:p>
      <w:pPr>
        <w:pStyle w:val="Heading1"/>
        <w:spacing w:before="300" w:after="200"/>
      </w:pPr>
      <w:r>
        <w:rPr>
          <w:rFonts w:ascii="Arial" w:cs="Arial" w:eastAsia="Arial" w:hAnsi="Arial"/>
          <w:b/>
          <w:bCs/>
          <w:color w:val="1A365D"/>
          <w:sz w:val="32"/>
          <w:szCs w:val="32"/>
        </w:rPr>
        <w:t xml:space="preserve">4. Role Affinity Matrix</w:t>
      </w:r>
    </w:p>
    <w:p>
      <w:pPr>
        <w:spacing w:before="80" w:after="80"/>
      </w:pPr>
      <w:r>
        <w:rPr>
          <w:rFonts w:ascii="Arial" w:cs="Arial" w:eastAsia="Arial" w:hAnsi="Arial"/>
          <w:color w:val="1A202C"/>
          <w:sz w:val="22"/>
          <w:szCs w:val="22"/>
        </w:rPr>
        <w:t xml:space="preserve">The matrix maps every task from the 10-cluster taxonomy to its affinity score per role. Scores are derived directly from the canonical menu item tables in Section 9.2 of the specification: anchor tasks receive 1.0, seed-eligible tasks receive 0.7–0.9, growth-layer tasks receive 0.4–0.6, and cross-role tasks receive modest scores.</w:t>
      </w:r>
    </w:p>
    <w:p>
      <w:pPr>
        <w:spacing w:before="120" w:after="0"/>
      </w:pPr>
    </w:p>
    <w:p>
      <w:pPr>
        <w:spacing w:before="80" w:after="80"/>
      </w:pPr>
      <w:r>
        <w:rPr>
          <w:rFonts w:ascii="Arial" w:cs="Arial" w:eastAsia="Arial" w:hAnsi="Arial"/>
          <w:color w:val="1A202C"/>
          <w:sz w:val="22"/>
          <w:szCs w:val="22"/>
        </w:rPr>
        <w:t xml:space="preserve">On top of the static matrix, the engine applies additive boosts from onboarding data. This is where the 786-line onboarding flow finally earns its keep — a learner who selected “coding” and “gaming” during onboarding sees Arena (AR1) boosted by +0.3 from each interest, while their competitive interest flag adds another +0.3. Combined with the base learner affinity of 0.6, the task reaches its cap of 1.0.</w:t>
      </w:r>
    </w:p>
    <w:p>
      <w:pPr>
        <w:spacing w:before="120" w:after="0"/>
      </w:pPr>
    </w:p>
    <w:p>
      <w:pPr>
        <w:spacing w:before="200" w:after="120"/>
      </w:pPr>
      <w:r>
        <w:rPr>
          <w:rFonts w:ascii="Arial" w:cs="Arial" w:eastAsia="Arial" w:hAnsi="Arial"/>
          <w:b/>
          <w:bCs/>
          <w:color w:val="1A365D"/>
          <w:sz w:val="24"/>
          <w:szCs w:val="24"/>
        </w:rPr>
        <w:t xml:space="preserve">Onboarding Boost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Boost Category</w:t>
            </w:r>
          </w:p>
        </w:tc>
        <w:tc>
          <w:tcPr>
            <w:tcW w:type="dxa" w:w="3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Trigger Condition</w:t>
            </w:r>
          </w:p>
        </w:tc>
        <w:tc>
          <w:tcPr>
            <w:tcW w:type="dxa" w:w="39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Tasks Boosted</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Interest Boosts (10 interests)</w:t>
            </w:r>
          </w:p>
        </w:tc>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Matched string in onboarding.interests[]</w:t>
            </w:r>
          </w:p>
        </w:tc>
        <w:tc>
          <w:tcPr>
            <w:tcW w:type="dxa" w:w="3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coding → AR1, L6, L7. gaming → AR1, AR2, AR4. science → L5, L4. languages → LF1–LF4, LF7. 6 more.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Language Boosts</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onboarding.languages.length &gt; 0</w:t>
            </w:r>
          </w:p>
        </w:tc>
        <w:tc>
          <w:tcPr>
            <w:tcW w:type="dxa" w:w="3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LF1 (+0.3), LF2 (+0.3), LF3 (+0.2), LF4 (+0.2), LF7 (+0.1)</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Competitive Boosts</w:t>
            </w:r>
          </w:p>
        </w:tc>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onboarding.competitiveInterest === true</w:t>
            </w:r>
          </w:p>
        </w:tc>
        <w:tc>
          <w:tcPr>
            <w:tcW w:type="dxa" w:w="3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AR1 (+0.3), AR2 (+0.2), AR3 (+0.1)</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Early Years Boosts</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onboarding.hasEarlyYearsChildren === true</w:t>
            </w:r>
          </w:p>
        </w:tc>
        <w:tc>
          <w:tcPr>
            <w:tcW w:type="dxa" w:w="3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F8 (+0.4) — Little Explorers</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Incomplete Profile</w:t>
            </w:r>
          </w:p>
        </w:tc>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onboarding.profileCompleteness &lt; 80</w:t>
            </w:r>
          </w:p>
        </w:tc>
        <w:tc>
          <w:tcPr>
            <w:tcW w:type="dxa" w:w="3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TU8 (+0.4), CR7 (+0.4) — nudge to complete profile</w:t>
            </w:r>
          </w:p>
        </w:tc>
      </w:tr>
    </w:tbl>
    <w:p>
      <w:r>
        <w:br w:type="page"/>
      </w:r>
    </w:p>
    <w:p>
      <w:pPr>
        <w:pStyle w:val="Heading1"/>
        <w:spacing w:before="300" w:after="200"/>
      </w:pPr>
      <w:r>
        <w:rPr>
          <w:rFonts w:ascii="Arial" w:cs="Arial" w:eastAsia="Arial" w:hAnsi="Arial"/>
          <w:b/>
          <w:bCs/>
          <w:color w:val="1A365D"/>
          <w:sz w:val="32"/>
          <w:szCs w:val="32"/>
        </w:rPr>
        <w:t xml:space="preserve">5. Temporal Heuristics</w:t>
      </w:r>
    </w:p>
    <w:p>
      <w:pPr>
        <w:spacing w:before="80" w:after="80"/>
      </w:pPr>
      <w:r>
        <w:rPr>
          <w:rFonts w:ascii="Arial" w:cs="Arial" w:eastAsia="Arial" w:hAnsi="Arial"/>
          <w:color w:val="1A202C"/>
          <w:sz w:val="22"/>
          <w:szCs w:val="22"/>
        </w:rPr>
        <w:t xml:space="preserve">The temporal signal is the engine’s strongest differentiator from static recommendation systems. It divides the day into seven time blocks (early morning 6–8, morning 8–10, late morning 10–12, midday 12–2, afternoon 2–5, evening 5–8, night 8–11) and maps each role’s typical workflow patterns to scored task suggestions.</w:t>
      </w:r>
    </w:p>
    <w:p>
      <w:pPr>
        <w:spacing w:before="120" w:after="0"/>
      </w:pPr>
    </w:p>
    <w:p>
      <w:pPr>
        <w:spacing w:before="80" w:after="80"/>
      </w:pPr>
      <w:r>
        <w:rPr>
          <w:rFonts w:ascii="Arial" w:cs="Arial" w:eastAsia="Arial" w:hAnsi="Arial"/>
          <w:color w:val="1A202C"/>
          <w:sz w:val="22"/>
          <w:szCs w:val="22"/>
        </w:rPr>
        <w:t xml:space="preserve">Three layers of temporal intelligence stack together. First, the time-of-day heuristics from the spec’s Section 12.2 table provide the base scores. Second, weekend modifiers reduce or replace weekday patterns — teachers see Lesson Planning instead of Attendance on Saturday mornings, while learners see Arena at peak weekend engagement. Third, term-week modifiers boost tasks at pedagogically significant moments: setup tasks in weeks 1–2, assessment tasks in weeks 4–6, and reporting tasks in weeks 9–10.</w:t>
      </w:r>
    </w:p>
    <w:p>
      <w:pPr>
        <w:spacing w:before="120" w:after="0"/>
      </w:pPr>
    </w:p>
    <w:p>
      <w:pPr>
        <w:spacing w:before="200" w:after="120"/>
      </w:pPr>
      <w:r>
        <w:rPr>
          <w:rFonts w:ascii="Arial" w:cs="Arial" w:eastAsia="Arial" w:hAnsi="Arial"/>
          <w:b/>
          <w:bCs/>
          <w:color w:val="1A365D"/>
          <w:sz w:val="24"/>
          <w:szCs w:val="24"/>
        </w:rPr>
        <w:t xml:space="preserve">Teacher Temporal Profile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 Block</w:t>
            </w:r>
          </w:p>
        </w:tc>
        <w:tc>
          <w:tcPr>
            <w:tcW w:type="dxa" w:w="43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Top Tasks</w:t>
            </w:r>
          </w:p>
        </w:tc>
        <w:tc>
          <w:tcPr>
            <w:tcW w:type="dxa" w:w="30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Score Range</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Morning (8–10)</w:t>
            </w:r>
          </w:p>
        </w:tc>
        <w:tc>
          <w:tcPr>
            <w:tcW w:type="dxa" w:w="4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Attendance (1.0), Timetable (0.9), Alerts (0.8)</w:t>
            </w:r>
          </w:p>
        </w:tc>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0.24–0.30 (weighted)</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Late Morning (10–12)</w:t>
            </w:r>
          </w:p>
        </w:tc>
        <w:tc>
          <w:tcPr>
            <w:tcW w:type="dxa" w:w="4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Lesson Planner (0.7), Gradebook (0.6)</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0.18–0.21</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Afternoon (2–5)</w:t>
            </w:r>
          </w:p>
        </w:tc>
        <w:tc>
          <w:tcPr>
            <w:tcW w:type="dxa" w:w="4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Grading (0.9), Reports (0.8)</w:t>
            </w:r>
          </w:p>
        </w:tc>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0.24–0.27</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Evening (5–8)</w:t>
            </w:r>
          </w:p>
        </w:tc>
        <w:tc>
          <w:tcPr>
            <w:tcW w:type="dxa" w:w="4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Lesson Planning (0.5)</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0.15</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Weekend Morning</w:t>
            </w:r>
          </w:p>
        </w:tc>
        <w:tc>
          <w:tcPr>
            <w:tcW w:type="dxa" w:w="4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Lesson Planning (0.6), Reports (0.4)</w:t>
            </w:r>
          </w:p>
        </w:tc>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0.12–0.18</w:t>
            </w:r>
          </w:p>
        </w:tc>
      </w:tr>
    </w:tbl>
    <w:p>
      <w:r>
        <w:br w:type="page"/>
      </w:r>
    </w:p>
    <w:p>
      <w:pPr>
        <w:pStyle w:val="Heading1"/>
        <w:spacing w:before="300" w:after="200"/>
      </w:pPr>
      <w:r>
        <w:rPr>
          <w:rFonts w:ascii="Arial" w:cs="Arial" w:eastAsia="Arial" w:hAnsi="Arial"/>
          <w:b/>
          <w:bCs/>
          <w:color w:val="1A365D"/>
          <w:sz w:val="32"/>
          <w:szCs w:val="32"/>
        </w:rPr>
        <w:t xml:space="preserve">6. Eligibility &amp; Diversity</w:t>
      </w:r>
    </w:p>
    <w:p>
      <w:pPr>
        <w:pStyle w:val="Heading2"/>
        <w:spacing w:before="240" w:after="160"/>
      </w:pPr>
      <w:r>
        <w:rPr>
          <w:rFonts w:ascii="Arial" w:cs="Arial" w:eastAsia="Arial" w:hAnsi="Arial"/>
          <w:b/>
          <w:bCs/>
          <w:color w:val="2B6CB0"/>
          <w:sz w:val="28"/>
          <w:szCs w:val="28"/>
        </w:rPr>
        <w:t xml:space="preserve">6.1 Eligibility Rules</w:t>
      </w:r>
    </w:p>
    <w:p>
      <w:pPr>
        <w:spacing w:before="80" w:after="80"/>
      </w:pPr>
      <w:r>
        <w:rPr>
          <w:rFonts w:ascii="Arial" w:cs="Arial" w:eastAsia="Arial" w:hAnsi="Arial"/>
          <w:color w:val="1A202C"/>
          <w:sz w:val="22"/>
          <w:szCs w:val="22"/>
        </w:rPr>
        <w:t xml:space="preserve">Not every task is a candidate. The engine excludes: unseedable meta-tasks (X4 Cmd+K, X1 Settings, X7 Help), tasks already visible in the menu (anchor, active, seed, pushed states), tasks the user explicitly removed (REMOVED state — only manual restore), and dismissed tasks within the 14-day cooldown period. Overflow and decaying items ARE eligible — the engine can resurface decayed features when context warrants it.</w:t>
      </w:r>
    </w:p>
    <w:p>
      <w:pPr>
        <w:spacing w:before="120" w:after="0"/>
      </w:pPr>
    </w:p>
    <w:p>
      <w:pPr>
        <w:pStyle w:val="Heading2"/>
        <w:spacing w:before="240" w:after="160"/>
      </w:pPr>
      <w:r>
        <w:rPr>
          <w:rFonts w:ascii="Arial" w:cs="Arial" w:eastAsia="Arial" w:hAnsi="Arial"/>
          <w:b/>
          <w:bCs/>
          <w:color w:val="2B6CB0"/>
          <w:sz w:val="28"/>
          <w:szCs w:val="28"/>
        </w:rPr>
        <w:t xml:space="preserve">6.2 Diversity Filter</w:t>
      </w:r>
    </w:p>
    <w:p>
      <w:pPr>
        <w:spacing w:before="80" w:after="80"/>
      </w:pPr>
      <w:r>
        <w:rPr>
          <w:rFonts w:ascii="Arial" w:cs="Arial" w:eastAsia="Arial" w:hAnsi="Arial"/>
          <w:color w:val="1A202C"/>
          <w:sz w:val="22"/>
          <w:szCs w:val="22"/>
        </w:rPr>
        <w:t xml:space="preserve">Without diversity enforcement, a teacher at 8 AM on Monday would receive 4 seeds from the Daily Operations cluster (Attendance, Timetable, Alerts, Messages) and miss suggestions from Teaching, Learning, or Arena. The diversity rule limits seeds to a maximum of 2 per task cluster, forcing the engine to spread suggestions across domains. If diversity filtering reduces below the minimum of 2 seeds, the constraint relaxes to fill the minimum.</w:t>
      </w:r>
    </w:p>
    <w:p>
      <w:r>
        <w:br w:type="page"/>
      </w:r>
    </w:p>
    <w:p>
      <w:pPr>
        <w:pStyle w:val="Heading1"/>
        <w:spacing w:before="300" w:after="200"/>
      </w:pPr>
      <w:r>
        <w:rPr>
          <w:rFonts w:ascii="Arial" w:cs="Arial" w:eastAsia="Arial" w:hAnsi="Arial"/>
          <w:b/>
          <w:bCs/>
          <w:color w:val="1A365D"/>
          <w:sz w:val="32"/>
          <w:szCs w:val="32"/>
        </w:rPr>
        <w:t xml:space="preserve">7. Session-Start Hook (use-seed-engine.ts)</w:t>
      </w:r>
    </w:p>
    <w:p>
      <w:pPr>
        <w:spacing w:before="80" w:after="80"/>
      </w:pPr>
      <w:r>
        <w:rPr>
          <w:rFonts w:ascii="Arial" w:cs="Arial" w:eastAsia="Arial" w:hAnsi="Arial"/>
          <w:color w:val="1A202C"/>
          <w:sz w:val="22"/>
          <w:szCs w:val="22"/>
        </w:rPr>
        <w:t xml:space="preserve">The React hook is the impure wrapper around the pure scoring algorithm. It runs on three triggers: initial login (no previous seed run), return after 30+ minutes away (detected via document visibility change), and manual refresh (exposed for testing/admin). The hook assembles the SeedEngineInput by fetching data from multiple sources in parallel: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Data Source</w:t>
            </w:r>
          </w:p>
        </w:tc>
        <w:tc>
          <w:tcPr>
            <w:tcW w:type="dxa" w:w="38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Fallback on Failure</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Auth context</w:t>
            </w:r>
          </w:p>
        </w:tc>
        <w:tc>
          <w:tcPr>
            <w:tcW w:type="dxa" w:w="3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Prop injection from auth provider</w:t>
            </w:r>
          </w:p>
        </w:tc>
        <w:tc>
          <w:tcPr>
            <w:tcW w:type="dxa" w:w="3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N/A — required</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Onboarding store</w:t>
            </w:r>
          </w:p>
        </w:tc>
        <w:tc>
          <w:tcPr>
            <w:tcW w:type="dxa" w:w="3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Zustand store reference</w:t>
            </w:r>
          </w:p>
        </w:tc>
        <w:tc>
          <w:tcPr>
            <w:tcW w:type="dxa" w:w="3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buildDefaultOnboarding() — empty interests, 0% completeness</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Menu state</w:t>
            </w:r>
          </w:p>
        </w:tc>
        <w:tc>
          <w:tcPr>
            <w:tcW w:type="dxa" w:w="3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Zustand composing-menu-store</w:t>
            </w:r>
          </w:p>
        </w:tc>
        <w:tc>
          <w:tcPr>
            <w:tcW w:type="dxa" w:w="3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Empty array — all tasks eligible</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Institutional context</w:t>
            </w:r>
          </w:p>
        </w:tc>
        <w:tc>
          <w:tcPr>
            <w:tcW w:type="dxa" w:w="3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GET /api/v1/institutions/{id}/context (3s timeout)</w:t>
            </w:r>
          </w:p>
        </w:tc>
        <w:tc>
          <w:tcPr>
            <w:tcW w:type="dxa" w:w="3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Default: empty events, term 1, week 1</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Peer patterns</w:t>
            </w:r>
          </w:p>
        </w:tc>
        <w:tc>
          <w:tcPr>
            <w:tcW w:type="dxa" w:w="3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GET /api/v1/menu-analytics/peer-patterns (3s timeout)</w:t>
            </w:r>
          </w:p>
        </w:tc>
        <w:tc>
          <w:tcPr>
            <w:tcW w:type="dxa" w:w="3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Empty array — peer signal contributes 0</w:t>
            </w:r>
          </w:p>
        </w:tc>
      </w:tr>
    </w:tbl>
    <w:p>
      <w:pPr>
        <w:spacing w:before="120" w:after="0"/>
      </w:pPr>
    </w:p>
    <w:p>
      <w:pPr>
        <w:spacing w:before="80" w:after="80"/>
      </w:pPr>
      <w:r>
        <w:rPr>
          <w:rFonts w:ascii="Arial" w:cs="Arial" w:eastAsia="Arial" w:hAnsi="Arial"/>
          <w:color w:val="1A202C"/>
          <w:sz w:val="22"/>
          <w:szCs w:val="22"/>
        </w:rPr>
        <w:t xml:space="preserve">Both API calls use AbortSignal.timeout(3000) to prevent seed computation from blocking the UI. A 200ms delay before running ensures the sidebar renders first, avoiding a flash of empty seeds.</w:t>
      </w:r>
    </w:p>
    <w:p>
      <w:r>
        <w:br w:type="page"/>
      </w:r>
    </w:p>
    <w:p>
      <w:pPr>
        <w:pStyle w:val="Heading1"/>
        <w:spacing w:before="300" w:after="200"/>
      </w:pPr>
      <w:r>
        <w:rPr>
          <w:rFonts w:ascii="Arial" w:cs="Arial" w:eastAsia="Arial" w:hAnsi="Arial"/>
          <w:b/>
          <w:bCs/>
          <w:color w:val="1A365D"/>
          <w:sz w:val="32"/>
          <w:szCs w:val="32"/>
        </w:rPr>
        <w:t xml:space="preserve">8. Integration Points</w:t>
      </w:r>
    </w:p>
    <w:p>
      <w:pPr>
        <w:pStyle w:val="Heading2"/>
        <w:spacing w:before="240" w:after="160"/>
      </w:pPr>
      <w:r>
        <w:rPr>
          <w:rFonts w:ascii="Arial" w:cs="Arial" w:eastAsia="Arial" w:hAnsi="Arial"/>
          <w:b/>
          <w:bCs/>
          <w:color w:val="2B6CB0"/>
          <w:sz w:val="28"/>
          <w:szCs w:val="28"/>
        </w:rPr>
        <w:t xml:space="preserve">8.1 With Phase 1 (Store)</w:t>
      </w:r>
    </w:p>
    <w:p>
      <w:pPr>
        <w:spacing w:before="80" w:after="80"/>
      </w:pPr>
      <w:r>
        <w:rPr>
          <w:rFonts w:ascii="Arial" w:cs="Arial" w:eastAsia="Arial" w:hAnsi="Arial"/>
          <w:color w:val="1A202C"/>
          <w:sz w:val="22"/>
          <w:szCs w:val="22"/>
        </w:rPr>
        <w:t xml:space="preserve">The hook calls store.addSeeds(role, seeds) to inject seed results into the composing menu store. The addSeeds() method was stubbed in Phase 1 and is now consumed. Each seed carries a ref, score, and reason string. The store transitions these into SEED state items with sparkle indicators in the sidebar.</w:t>
      </w:r>
    </w:p>
    <w:p>
      <w:pPr>
        <w:spacing w:before="120" w:after="0"/>
      </w:pPr>
    </w:p>
    <w:p>
      <w:pPr>
        <w:pStyle w:val="Heading2"/>
        <w:spacing w:before="240" w:after="160"/>
      </w:pPr>
      <w:r>
        <w:rPr>
          <w:rFonts w:ascii="Arial" w:cs="Arial" w:eastAsia="Arial" w:hAnsi="Arial"/>
          <w:b/>
          <w:bCs/>
          <w:color w:val="2B6CB0"/>
          <w:sz w:val="28"/>
          <w:szCs w:val="28"/>
        </w:rPr>
        <w:t xml:space="preserve">8.2 With Phase 2 (Toast System)</w:t>
      </w:r>
    </w:p>
    <w:p>
      <w:pPr>
        <w:spacing w:before="80" w:after="80"/>
      </w:pPr>
      <w:r>
        <w:rPr>
          <w:rFonts w:ascii="Arial" w:cs="Arial" w:eastAsia="Arial" w:hAnsi="Arial"/>
          <w:color w:val="1A202C"/>
          <w:sz w:val="22"/>
          <w:szCs w:val="22"/>
        </w:rPr>
        <w:t xml:space="preserve">When a user interacts with a seed (pin, dismiss, or navigate to it), the existing toast system from Phase 2 handles the feedback. Pinning a seed fires a showAutoAdded() toast. Dismissing fires showSeedDismissed(). Navigating to a seed’s route fires recordUse() which may trigger a promotion toast. No changes to the toast system were required — the Phase 2 implementation already handles all seed interaction cases.</w:t>
      </w:r>
    </w:p>
    <w:p>
      <w:pPr>
        <w:spacing w:before="120" w:after="0"/>
      </w:pPr>
    </w:p>
    <w:p>
      <w:pPr>
        <w:pStyle w:val="Heading2"/>
        <w:spacing w:before="240" w:after="160"/>
      </w:pPr>
      <w:r>
        <w:rPr>
          <w:rFonts w:ascii="Arial" w:cs="Arial" w:eastAsia="Arial" w:hAnsi="Arial"/>
          <w:b/>
          <w:bCs/>
          <w:color w:val="2B6CB0"/>
          <w:sz w:val="28"/>
          <w:szCs w:val="28"/>
        </w:rPr>
        <w:t xml:space="preserve">8.3 API Endpoints Required</w:t>
      </w:r>
    </w:p>
    <w:p>
      <w:pPr>
        <w:spacing w:before="80" w:after="80"/>
      </w:pPr>
      <w:r>
        <w:rPr>
          <w:rFonts w:ascii="Arial" w:cs="Arial" w:eastAsia="Arial" w:hAnsi="Arial"/>
          <w:color w:val="1A202C"/>
          <w:sz w:val="22"/>
          <w:szCs w:val="22"/>
        </w:rPr>
        <w:t xml:space="preserve">Phase 3 introduces two new API endpoints that need server-side implementation: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3960"/>
        <w:gridCol w:w="1500"/>
      </w:tblGrid>
      <w:tr>
        <w:trPr>
          <w:tblHeader/>
        </w:trPr>
        <w:tc>
          <w:tcPr>
            <w:tcW w:type="dxa" w:w="3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7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9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15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/api/v1/institutions/{id}/context</w:t>
            </w:r>
          </w:p>
        </w:tc>
        <w:tc>
          <w:tcPr>
            <w:tcW w:type="dxa" w:w="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GET</w:t>
            </w:r>
          </w:p>
        </w:tc>
        <w:tc>
          <w:tcPr>
            <w:tcW w:type="dxa" w:w="3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Returns active events, current term, term week, timezone for the user’s institution</w:t>
            </w:r>
          </w:p>
        </w:tc>
        <w:tc>
          <w:tcPr>
            <w:tcW w:type="dxa" w:w="15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P1 — degrades to defaults without it</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/api/v1/menu-analytics/peer-patterns</w:t>
            </w:r>
          </w:p>
        </w:tc>
        <w:tc>
          <w:tcPr>
            <w:tcW w:type="dxa" w:w="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GET</w:t>
            </w:r>
          </w:p>
        </w:tc>
        <w:tc>
          <w:tcPr>
            <w:tcW w:type="dxa" w:w="3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Returns anonymised adoption rates and trend weights per task for the user’s role</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P2 — peer signal is lowest weight (0.10)</w:t>
            </w:r>
          </w:p>
        </w:tc>
      </w:tr>
    </w:tbl>
    <w:p>
      <w:r>
        <w:br w:type="page"/>
      </w:r>
    </w:p>
    <w:p>
      <w:pPr>
        <w:pStyle w:val="Heading1"/>
        <w:spacing w:before="300" w:after="200"/>
      </w:pPr>
      <w:r>
        <w:rPr>
          <w:rFonts w:ascii="Arial" w:cs="Arial" w:eastAsia="Arial" w:hAnsi="Arial"/>
          <w:b/>
          <w:bCs/>
          <w:color w:val="1A365D"/>
          <w:sz w:val="32"/>
          <w:szCs w:val="32"/>
        </w:rPr>
        <w:t xml:space="preserve">9. Test Coverage</w:t>
      </w:r>
    </w:p>
    <w:p>
      <w:pPr>
        <w:spacing w:before="80" w:after="80"/>
      </w:pPr>
      <w:r>
        <w:rPr>
          <w:rFonts w:ascii="Arial" w:cs="Arial" w:eastAsia="Arial" w:hAnsi="Arial"/>
          <w:color w:val="1A202C"/>
          <w:sz w:val="22"/>
          <w:szCs w:val="22"/>
        </w:rPr>
        <w:t xml:space="preserve">The test suite contains 56 test cases across 11 groups, covering every signal function, the composite scoring pipeline, diversity enforcement, and 5 persona-based integration scenarios drawn directly from the specification’s role profiles.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560"/>
      </w:tblGrid>
      <w:tr>
        <w:trPr>
          <w:tblHeader/>
        </w:trPr>
        <w:tc>
          <w:tcPr>
            <w:tcW w:type="dxa" w:w="2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Test Group</w:t>
            </w:r>
          </w:p>
        </w:tc>
        <w:tc>
          <w:tcPr>
            <w:tcW w:type="dxa" w:w="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Cases</w:t>
            </w:r>
          </w:p>
        </w:tc>
        <w:tc>
          <w:tcPr>
            <w:tcW w:type="dxa" w:w="6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Coverage</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Eligibility Filtering</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9</w:t>
            </w:r>
          </w:p>
        </w:tc>
        <w:tc>
          <w:tcPr>
            <w:tcW w:type="dxa" w:w="6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Anchor, active, removed, dismissed (cooldown/expired), overflow, pushed, seed, unseedable exclusions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Role Match Signal</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6</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Base affinity, zero cross-role, interest boosts, language boosts, early years, cap at 1.0</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Temporal Match Signal</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4</w:t>
            </w:r>
          </w:p>
        </w:tc>
        <w:tc>
          <w:tcPr>
            <w:tcW w:type="dxa" w:w="6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Morning teacher, afternoon learner, weekend reduction, term-week end-of-term boost</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History Match Signal</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3</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Never used (0), overflow with history, decaying nudge</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Institutional Match Signal</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3</w:t>
            </w:r>
          </w:p>
        </w:tc>
        <w:tc>
          <w:tcPr>
            <w:tcW w:type="dxa" w:w="6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No events (0), single event boost, multi-event max selection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Peer Match Signal</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3</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No data (0), adoption + trend combination, trending vs established</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Composite Scoring</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5</w:t>
            </w:r>
          </w:p>
        </w:tc>
        <w:tc>
          <w:tcPr>
            <w:tcW w:type="dxa" w:w="6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Sum verification, threshold filtering, sort order, max seeds, metadata</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Diversity Enforcement</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1</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Max 2 per cluster verified across final seeds</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Integration Scenarios</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5</w:t>
            </w:r>
          </w:p>
        </w:tc>
        <w:tc>
          <w:tcPr>
            <w:tcW w:type="dxa" w:w="6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Sarah (teacher AM), David (parent PM), James (learner PM), Rachel (tutor evening), Catherine (admin NAPLAN)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Edge Cases</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7</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Empty inputs, all items in menu, reason strings, primary signal identification, all 7 roles, night time</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Temporal Utilities</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5</w:t>
            </w:r>
          </w:p>
        </w:tc>
        <w:tc>
          <w:tcPr>
            <w:tcW w:type="dxa" w:w="6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Time block resolution, day-of-week mapping, school day detection, term-week boosts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Matrix Integrity</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3</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Task count verification, score bounds (0–1.0), anchor task scores</w:t>
            </w:r>
          </w:p>
        </w:tc>
      </w:tr>
    </w:tbl>
    <w:p>
      <w:r>
        <w:br w:type="page"/>
      </w:r>
    </w:p>
    <w:p>
      <w:pPr>
        <w:pStyle w:val="Heading1"/>
        <w:spacing w:before="300" w:after="200"/>
      </w:pPr>
      <w:r>
        <w:rPr>
          <w:rFonts w:ascii="Arial" w:cs="Arial" w:eastAsia="Arial" w:hAnsi="Arial"/>
          <w:b/>
          <w:bCs/>
          <w:color w:val="1A365D"/>
          <w:sz w:val="32"/>
          <w:szCs w:val="32"/>
        </w:rPr>
        <w:t xml:space="preserve">10.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Limitation</w:t>
            </w:r>
          </w:p>
        </w:tc>
        <w:tc>
          <w:tcPr>
            <w:tcW w:type="dxa" w:w="1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Deferred To</w:t>
            </w:r>
          </w:p>
        </w:tc>
        <w:tc>
          <w:tcPr>
            <w:tcW w:type="dxa" w:w="53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Current Behaviour</w:t>
            </w:r>
          </w:p>
        </w:tc>
      </w:tr>
      <w:tr>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No server-side seed computation</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Phase 6</w:t>
            </w:r>
          </w:p>
        </w:tc>
        <w:tc>
          <w:tcPr>
            <w:tcW w:type="dxa" w:w="5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Engine runs client-side. Server-side execution would improve cold-start performance and enable A/B testing of signal weights.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No holiday calendar integration</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Phase 4</w:t>
            </w:r>
          </w:p>
        </w:tc>
        <w:tc>
          <w:tcPr>
            <w:tcW w:type="dxa" w:w="5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isSchoolDay checks Mon–Fri only. Public holidays aren’t detected. The institutional context API can carry holiday data in future.</w:t>
            </w:r>
          </w:p>
        </w:tc>
      </w:tr>
      <w:tr>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Peer patterns require aggregation pipeline</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Sprint 19+</w:t>
            </w:r>
          </w:p>
        </w:tc>
        <w:tc>
          <w:tcPr>
            <w:tcW w:type="dxa" w:w="5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The MenuAnalyticsDaily model exists (Sprint 16) but the aggregation job that computes peer adoption rates is not yet running.</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No reduced-motion handling for seed sparkle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Phase 4</w:t>
            </w:r>
          </w:p>
        </w:tc>
        <w:tc>
          <w:tcPr>
            <w:tcW w:type="dxa" w:w="5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Sparkle animation plays regardless of prefers-reduced-motion. Phase 4 will add instant transitions.</w:t>
            </w:r>
          </w:p>
        </w:tc>
      </w:tr>
      <w:tr>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No seed analytics (impression tracking)</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Phase 5</w:t>
            </w:r>
          </w:p>
        </w:tc>
        <w:tc>
          <w:tcPr>
            <w:tcW w:type="dxa" w:w="5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Which seeds were shown, accepted, or dismissed is not tracked server-side. Phase 5 adds server-side analytics.</w:t>
            </w:r>
          </w:p>
        </w:tc>
      </w:tr>
    </w:tbl>
    <w:p>
      <w:r>
        <w:br w:type="page"/>
      </w:r>
    </w:p>
    <w:p>
      <w:pPr>
        <w:pStyle w:val="Heading1"/>
        <w:spacing w:before="300" w:after="200"/>
      </w:pPr>
      <w:r>
        <w:rPr>
          <w:rFonts w:ascii="Arial" w:cs="Arial" w:eastAsia="Arial" w:hAnsi="Arial"/>
          <w:b/>
          <w:bCs/>
          <w:color w:val="1A365D"/>
          <w:sz w:val="32"/>
          <w:szCs w:val="32"/>
        </w:rPr>
        <w:t xml:space="preserve">11. Phase 4 Preview: Decay &amp; Overflow Polish</w:t>
      </w:r>
    </w:p>
    <w:p>
      <w:pPr>
        <w:spacing w:before="80" w:after="80"/>
      </w:pPr>
      <w:r>
        <w:rPr>
          <w:rFonts w:ascii="Arial" w:cs="Arial" w:eastAsia="Arial" w:hAnsi="Arial"/>
          <w:color w:val="1A202C"/>
          <w:sz w:val="22"/>
          <w:szCs w:val="22"/>
        </w:rPr>
        <w:t xml:space="preserve">Phase 4 refines the decay experience from the basic lifecycle implemented in Phase 1 into a polished, accessible interaction: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10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61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Overflow drawer component</w:t>
            </w:r>
          </w:p>
        </w:tc>
        <w:tc>
          <w:tcPr>
            <w:tcW w:type="dxa" w:w="1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2–3 days</w:t>
            </w:r>
          </w:p>
        </w:tc>
        <w:tc>
          <w:tcPr>
            <w:tcW w:type="dxa" w:w="6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Slide-out panel via “More” button showing all overflow items sorted by recency. Restore action returns items to active. Maximum 15 items with 180-day pruning.</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Visual decay treatment</w:t>
            </w:r>
          </w:p>
        </w:tc>
        <w:tc>
          <w:tcPr>
            <w:tcW w:type="dxa" w:w="1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1–2 days</w:t>
            </w:r>
          </w:p>
        </w:tc>
        <w:tc>
          <w:tcPr>
            <w:tcW w:type="dxa" w:w="6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60% opacity with dotted underline for decaying items. Tooltip: “Pin to keep, or moves to More in N days.” Reduced-motion safe (opacity only).</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Pin/unpin mechanism</w:t>
            </w:r>
          </w:p>
        </w:tc>
        <w:tc>
          <w:tcPr>
            <w:tcW w:type="dxa" w:w="1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1 day</w:t>
            </w:r>
          </w:p>
        </w:tc>
        <w:tc>
          <w:tcPr>
            <w:tcW w:type="dxa" w:w="6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Toggle action with pin icon. Pinned items exempt from decay. Toast confirmation on pin.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Reduced-motion support</w:t>
            </w:r>
          </w:p>
        </w:tc>
        <w:tc>
          <w:tcPr>
            <w:tcW w:type="dxa" w:w="1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1 day</w:t>
            </w:r>
          </w:p>
        </w:tc>
        <w:tc>
          <w:tcPr>
            <w:tcW w:type="dxa" w:w="6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prefers-reduced-motion media query disables slide/fade/sparkle animations globally. Instant state changes with opacity-only visual cues.</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Decay timer display</w:t>
            </w:r>
          </w:p>
        </w:tc>
        <w:tc>
          <w:tcPr>
            <w:tcW w:type="dxa" w:w="1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1 day</w:t>
            </w:r>
          </w:p>
        </w:tc>
        <w:tc>
          <w:tcPr>
            <w:tcW w:type="dxa" w:w="6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Subtle indicator showing days until overflow transition. Visible on hover for decaying items.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6749" w:sz="1"/>
              <w:left w:val="single" w:color="276749" w:sz="8"/>
              <w:bottom w:val="single" w:color="276749" w:sz="1"/>
              <w:right w:val="single" w:color="276749" w:sz="1"/>
            </w:tcBorders>
            <w:shd w:fill="EBF4FF" w:val="clear"/>
            <w:tcMar>
              <w:top w:type="dxa" w:w="120"/>
              <w:left w:type="dxa" w:w="160"/>
              <w:bottom w:type="dxa" w:w="120"/>
              <w:right w:type="dxa" w:w="160"/>
            </w:tcMar>
          </w:tcPr>
          <w:p>
            <w:r>
              <w:rPr>
                <w:rFonts w:ascii="Arial" w:cs="Arial" w:eastAsia="Arial" w:hAnsi="Arial"/>
                <w:b/>
                <w:bCs/>
                <w:color w:val="276749"/>
                <w:sz w:val="22"/>
                <w:szCs w:val="22"/>
              </w:rPr>
              <w:t xml:space="preserve">Sequencing Note</w:t>
            </w:r>
          </w:p>
          <w:p>
            <w:pPr>
              <w:spacing w:before="60"/>
            </w:pPr>
            <w:r>
              <w:rPr>
                <w:rFonts w:ascii="Arial" w:cs="Arial" w:eastAsia="Arial" w:hAnsi="Arial"/>
                <w:i/>
                <w:iCs/>
                <w:color w:val="1A202C"/>
                <w:sz w:val="20"/>
                <w:szCs w:val="20"/>
              </w:rPr>
              <w:t xml:space="preserve">Phase 4 depends on Phase 1 (decay cycle runner), Phase 2 (overflow toast), and Phase 3 (seed engine can resurface decayed items). All three are complete. Phase 4 can begin immediately.</w:t>
            </w:r>
          </w:p>
        </w:tc>
      </w:tr>
    </w:tbl>
    <w:p>
      <w:r>
        <w:br w:type="page"/>
      </w:r>
    </w:p>
    <w:p>
      <w:pPr>
        <w:pStyle w:val="Heading1"/>
        <w:spacing w:before="300" w:after="200"/>
      </w:pPr>
      <w:r>
        <w:rPr>
          <w:rFonts w:ascii="Arial" w:cs="Arial" w:eastAsia="Arial" w:hAnsi="Arial"/>
          <w:b/>
          <w:bCs/>
          <w:color w:val="1A365D"/>
          <w:sz w:val="32"/>
          <w:szCs w:val="32"/>
        </w:rPr>
        <w:t xml:space="preserve">12. Cumulative Status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800"/>
        <w:gridCol w:w="600"/>
      </w:tblGrid>
      <w:tr>
        <w:trPr>
          <w:tblHeader/>
        </w:trPr>
        <w:tc>
          <w:tcPr>
            <w:tcW w:type="dxa" w:w="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3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12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8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Files</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1</w:t>
            </w:r>
          </w:p>
        </w:tc>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Foundation: Store, Registry, Anchors, Sidebar</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COMPLETE</w:t>
            </w:r>
          </w:p>
        </w:tc>
        <w:tc>
          <w:tcPr>
            <w:tcW w:type="dxa" w:w="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2,002</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5</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2</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Toast System &amp; Command Palette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COMPLETE</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1,301</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3</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3</w:t>
            </w:r>
          </w:p>
        </w:tc>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Seed Engine</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COMPLETE</w:t>
            </w:r>
          </w:p>
        </w:tc>
        <w:tc>
          <w:tcPr>
            <w:tcW w:type="dxa" w:w="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3,294</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6</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4</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Decay &amp; Overflow Polish</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NEXT</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5</w:t>
            </w:r>
          </w:p>
        </w:tc>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Admin Push &amp; Analytics</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PLANNED</w:t>
            </w:r>
          </w:p>
        </w:tc>
        <w:tc>
          <w:tcPr>
            <w:tcW w:type="dxa" w:w="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w:t>
            </w:r>
          </w:p>
        </w:tc>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1A202C"/>
                <w:sz w:val="20"/>
                <w:szCs w:val="20"/>
              </w:rPr>
              <w:t xml:space="preserve">—</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6</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Cross-Device Sync &amp; Mobile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PLANNED</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w:t>
            </w:r>
          </w:p>
        </w:tc>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1A202C"/>
                <w:sz w:val="20"/>
                <w:szCs w:val="20"/>
              </w:rPr>
              <w:t xml:space="preserve">—</w:t>
            </w:r>
          </w:p>
        </w:tc>
      </w:tr>
    </w:tbl>
    <w:p>
      <w:pPr>
        <w:spacing w:before="120" w:after="0"/>
      </w:pPr>
    </w:p>
    <w:p>
      <w:pPr>
        <w:spacing w:before="80" w:after="80"/>
      </w:pPr>
      <w:r>
        <w:rPr>
          <w:rFonts w:ascii="Arial" w:cs="Arial" w:eastAsia="Arial" w:hAnsi="Arial"/>
          <w:color w:val="1A202C"/>
          <w:sz w:val="22"/>
          <w:szCs w:val="22"/>
        </w:rPr>
        <w:t xml:space="preserve">Cumulative self-composing interface: 6,597 lines across 14 files. Phases 1–3 deliver the complete intelligence pipeline: the state machine that tracks items (Phase 1), the feedback layer that communicates changes (Phase 2), and the anticipation engine that predicts needs (Phase 3). The remaining phases focus on polish, administration, and cross-device parity.</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6749" w:sz="1"/>
              <w:left w:val="single" w:color="276749" w:sz="8"/>
              <w:bottom w:val="single" w:color="276749" w:sz="1"/>
              <w:right w:val="single" w:color="276749" w:sz="1"/>
            </w:tcBorders>
            <w:shd w:fill="EBF4FF" w:val="clear"/>
            <w:tcMar>
              <w:top w:type="dxa" w:w="120"/>
              <w:left w:type="dxa" w:w="160"/>
              <w:bottom w:type="dxa" w:w="120"/>
              <w:right w:type="dxa" w:w="160"/>
            </w:tcMar>
          </w:tcPr>
          <w:p>
            <w:r>
              <w:rPr>
                <w:rFonts w:ascii="Arial" w:cs="Arial" w:eastAsia="Arial" w:hAnsi="Arial"/>
                <w:b/>
                <w:bCs/>
                <w:color w:val="276749"/>
                <w:sz w:val="22"/>
                <w:szCs w:val="22"/>
              </w:rPr>
              <w:t xml:space="preserve">Phase 3 Outcome</w:t>
            </w:r>
          </w:p>
          <w:p>
            <w:pPr>
              <w:spacing w:before="60"/>
            </w:pPr>
            <w:r>
              <w:rPr>
                <w:rFonts w:ascii="Arial" w:cs="Arial" w:eastAsia="Arial" w:hAnsi="Arial"/>
                <w:i/>
                <w:iCs/>
                <w:color w:val="1A202C"/>
                <w:sz w:val="20"/>
                <w:szCs w:val="20"/>
              </w:rPr>
              <w:t xml:space="preserve">The menu now thinks ahead. It doesn’t just remember what you’ve done — it anticipates what you need. A teacher arriving at 7:45 AM finds Attendance and Timetable waiting as suggestions. A parent checking in at 6 PM sees their child’s Progress front and centre. A learner after school sees the Arena calling. The interface has graduated from reactive to proactive, from a menu that grows to a menu that guides.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6CB0" w:sz="4" w:space="4"/>
      </w:pBdr>
      <w:jc w:val="center"/>
    </w:pPr>
    <w:r>
      <w:rPr>
        <w:rFonts w:ascii="Arial" w:cs="Arial" w:eastAsia="Arial" w:hAnsi="Arial"/>
        <w:color w:val="718096"/>
        <w:sz w:val="16"/>
        <w:szCs w:val="16"/>
      </w:rPr>
      <w:t xml:space="preserve">Confidential  |  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4" w:space="4"/>
      </w:pBdr>
    </w:pPr>
    <w:r>
      <w:rPr>
        <w:rFonts w:ascii="Arial" w:cs="Arial" w:eastAsia="Arial" w:hAnsi="Arial"/>
        <w:color w:val="718096"/>
        <w:sz w:val="16"/>
        <w:szCs w:val="16"/>
      </w:rPr>
      <w:t xml:space="preserve">Scholarly — Self-Composing Interface — Phase 3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2026-02-14T16:52:58.653Z</dcterms:created>
  <dcterms:modified xsi:type="dcterms:W3CDTF">2026-02-14T16:52:58.654Z</dcterms:modified>
</cp:coreProperties>
</file>

<file path=docProps/custom.xml><?xml version="1.0" encoding="utf-8"?>
<Properties xmlns="http://schemas.openxmlformats.org/officeDocument/2006/custom-properties" xmlns:vt="http://schemas.openxmlformats.org/officeDocument/2006/docPropsVTypes"/>
</file>