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SCHOLARLY PLATFORM</w:t>
      </w:r>
    </w:p>
    <w:p>
      <w:pPr>
        <w:pStyle w:val="Heading1"/>
        <w:spacing w:before="240" w:after="120"/>
      </w:pPr>
      <w:r>
        <w:rPr>
          <w:rFonts w:ascii="Arial" w:cs="Arial" w:eastAsia="Arial" w:hAnsi="Arial"/>
          <w:b/>
          <w:bCs/>
          <w:sz w:val="32"/>
          <w:szCs w:val="32"/>
        </w:rPr>
        <w:t xml:space="preserve">Sprint 21 Delivery &amp; Handoff Document</w:t>
      </w:r>
    </w:p>
    <w:p>
      <w:pPr>
        <w:spacing w:after="120"/>
      </w:pPr>
      <w:r>
        <w:rPr>
          <w:rFonts w:ascii="Arial" w:cs="Arial" w:eastAsia="Arial" w:hAnsi="Arial"/>
          <w:sz w:val="22"/>
          <w:szCs w:val="22"/>
        </w:rPr>
        <w:t xml:space="preserve">Path B: Identity Provider + Auth Integration | Path C: Audio Narration Pipeline</w:t>
      </w:r>
    </w:p>
    <w:p>
      <w:pPr>
        <w:pStyle w:val="Heading2"/>
        <w:spacing w:before="200" w:after="100"/>
      </w:pPr>
      <w:r>
        <w:rPr>
          <w:rFonts w:ascii="Arial" w:cs="Arial" w:eastAsia="Arial" w:hAnsi="Arial"/>
          <w:b/>
          <w:bCs/>
          <w:sz w:val="28"/>
          <w:szCs w:val="28"/>
        </w:rPr>
        <w:t xml:space="preserve">1. Sprint Summary</w:t>
      </w:r>
    </w:p>
    <w:p>
      <w:pPr>
        <w:spacing w:after="120"/>
      </w:pPr>
      <w:r>
        <w:rPr>
          <w:rFonts w:ascii="Arial" w:cs="Arial" w:eastAsia="Arial" w:hAnsi="Arial"/>
          <w:sz w:val="22"/>
          <w:szCs w:val="22"/>
        </w:rPr>
        <w:t xml:space="preserve">Sprint 21 wires the authentication system to a real identity provider and completes the third and final pillar of storybook generation: audio narration. If Sprint 19 wrote the screenplay (narrative generator) and Sprint 20 shot the film (illustration pipeline), Sprint 21 hires the airline (Auth0 identity provider) and records the soundtrack (ElevenLabs narration).</w:t>
      </w:r>
    </w:p>
    <w:p>
      <w:pPr>
        <w:spacing w:after="120"/>
      </w:pPr>
      <w:r>
        <w:rPr>
          <w:rFonts w:ascii="Arial" w:cs="Arial" w:eastAsia="Arial" w:hAnsi="Arial"/>
          <w:sz w:val="22"/>
          <w:szCs w:val="22"/>
        </w:rPr>
        <w:t xml:space="preserve">The critical Path B→C touchpoint: the Content SDK (Sprint 23) will authenticate developers via the Auth0-issued JWTs that Path B provisions. The audio narration pipeline consumes the ElevenLabs API key from Sprint 20’s Secrets Manager and stores audio in the S3 bucket Sprint 20 provisioned. After this sprint, the complete storybook generation pipeline is operational: narrative → illustration → audio, with infrastructure to serve it securely.</w:t>
      </w:r>
    </w:p>
    <w:p>
      <w:pPr>
        <w:pStyle w:val="Heading2"/>
        <w:spacing w:before="200" w:after="100"/>
      </w:pPr>
      <w:r>
        <w:rPr>
          <w:rFonts w:ascii="Arial" w:cs="Arial" w:eastAsia="Arial" w:hAnsi="Arial"/>
          <w:b/>
          <w:bCs/>
          <w:sz w:val="28"/>
          <w:szCs w:val="28"/>
        </w:rP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700"/>
        <w:gridCol w:w="800"/>
        <w:gridCol w:w="38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S21-001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Provider + Auth 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infrastructure/identity-provider-auth.ts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S21-002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Audio Narration Pipeline (ElevenLabs)</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525</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storybook/audio-narration-pipeline.ts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S21-T01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(90 test cases)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tests/sprint21-tests.ts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3,154</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files + shared/base.ts</w:t>
            </w:r>
          </w:p>
        </w:tc>
      </w:tr>
    </w:tbl>
    <w:p>
      <w:pPr>
        <w:pStyle w:val="Heading2"/>
        <w:spacing w:before="200" w:after="100"/>
      </w:pPr>
      <w:r>
        <w:rPr>
          <w:rFonts w:ascii="Arial" w:cs="Arial" w:eastAsia="Arial" w:hAnsi="Arial"/>
          <w:b/>
          <w:bCs/>
          <w:sz w:val="28"/>
          <w:szCs w:val="28"/>
        </w:rPr>
        <w:t xml:space="preserve">3. S21-001: Identity Provider + Auth Integration (Path B)</w:t>
      </w:r>
    </w:p>
    <w:p>
      <w:pPr>
        <w:pStyle w:val="Heading3"/>
        <w:spacing w:before="160" w:after="80"/>
      </w:pPr>
      <w:r>
        <w:rPr>
          <w:rFonts w:ascii="Arial" w:cs="Arial" w:eastAsia="Arial" w:hAnsi="Arial"/>
          <w:b/>
          <w:bCs/>
          <w:sz w:val="24"/>
          <w:szCs w:val="24"/>
        </w:rPr>
        <w:t xml:space="preserve">3.1 Auth0 Terraform Configuration</w:t>
      </w:r>
    </w:p>
    <w:p>
      <w:pPr>
        <w:spacing w:after="120"/>
      </w:pPr>
      <w:r>
        <w:rPr>
          <w:rFonts w:ascii="Arial" w:cs="Arial" w:eastAsia="Arial" w:hAnsi="Arial"/>
          <w:sz w:val="22"/>
          <w:szCs w:val="22"/>
        </w:rPr>
        <w:t xml:space="preserve">Seven Terraform files generated per environment (dev/staging/production): provider, clients, connections, roles &amp; permissions, actions, branding, and outputs. The SPA client uses RS256 JWTs with rotating refresh tokens. The M2M client supports service-to-service authentication for backend operations.</w:t>
      </w:r>
    </w:p>
    <w:p>
      <w:pPr>
        <w:pStyle w:val="Heading3"/>
        <w:spacing w:before="160" w:after="80"/>
      </w:pPr>
      <w:r>
        <w:rPr>
          <w:rFonts w:ascii="Arial" w:cs="Arial" w:eastAsia="Arial" w:hAnsi="Arial"/>
          <w:b/>
          <w:bCs/>
          <w:sz w:val="24"/>
          <w:szCs w:val="24"/>
        </w:rPr>
        <w:t xml:space="preserve">3.2 Six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56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MFA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req/min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storybook:read, library:browse, progress:read:own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Parent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req/min</w:t>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child:create/read/update/delete, consent:manage, subscription:manage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req/min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classroom:manage, learner:read:classroom, analytics:read:classroom</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Tutor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 req/min</w:t>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learner:read:assigned, assessment:create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Creator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req/min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storybook:create, illustration:generate, narration:generate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Admin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 req/min</w:t>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admin:full, user:manage, tenant:manage</w:t>
            </w:r>
          </w:p>
        </w:tc>
      </w:tr>
    </w:tbl>
    <w:p>
      <w:pPr>
        <w:pStyle w:val="Heading3"/>
        <w:spacing w:before="160" w:after="80"/>
      </w:pPr>
      <w:r>
        <w:rPr>
          <w:rFonts w:ascii="Arial" w:cs="Arial" w:eastAsia="Arial" w:hAnsi="Arial"/>
          <w:b/>
          <w:bCs/>
          <w:sz w:val="24"/>
          <w:szCs w:val="24"/>
        </w:rPr>
        <w:t xml:space="preserve">3.3 COPPA-Compliant Child Account Flow</w:t>
      </w:r>
    </w:p>
    <w:p>
      <w:pPr>
        <w:spacing w:after="120"/>
      </w:pPr>
      <w:r>
        <w:rPr>
          <w:rFonts w:ascii="Arial" w:cs="Arial" w:eastAsia="Arial" w:hAnsi="Arial"/>
          <w:sz w:val="22"/>
          <w:szCs w:val="22"/>
        </w:rPr>
        <w:t xml:space="preserve">Child accounts are never standalone. They are always linked to a verified parent account. The COPPA consent service manages the full lifecycle: initiate consent (credit-card verification as primary method), verify consent, check ongoing consent status, and revoke consent (triggering session termination and scheduled data deletion).</w:t>
      </w:r>
    </w:p>
    <w:p>
      <w:pPr>
        <w:spacing w:after="120"/>
      </w:pPr>
      <w:r>
        <w:rPr>
          <w:rFonts w:ascii="Arial" w:cs="Arial" w:eastAsia="Arial" w:hAnsi="Arial"/>
          <w:sz w:val="22"/>
          <w:szCs w:val="22"/>
        </w:rPr>
        <w:t xml:space="preserve">Five jurisdictions covered with appropriate age thresholds: US (13, COPPA), Australia (13, Privacy Act), EU (16, GDPR Article 8), UK (13, UK GDPR + Age Appropriate Design Code), and Canada (13, PIPEDA).</w:t>
      </w:r>
    </w:p>
    <w:p>
      <w:pPr>
        <w:pStyle w:val="Heading3"/>
        <w:spacing w:before="160" w:after="80"/>
      </w:pPr>
      <w:r>
        <w:rPr>
          <w:rFonts w:ascii="Arial" w:cs="Arial" w:eastAsia="Arial" w:hAnsi="Arial"/>
          <w:b/>
          <w:bCs/>
          <w:sz w:val="24"/>
          <w:szCs w:val="24"/>
        </w:rPr>
        <w:t xml:space="preserve">3.4 Multi-Tenant SSO</w:t>
      </w:r>
    </w:p>
    <w:p>
      <w:pPr>
        <w:spacing w:after="120"/>
      </w:pPr>
      <w:r>
        <w:rPr>
          <w:rFonts w:ascii="Arial" w:cs="Arial" w:eastAsia="Arial" w:hAnsi="Arial"/>
          <w:sz w:val="22"/>
          <w:szCs w:val="22"/>
        </w:rPr>
        <w:t xml:space="preserve">Production environment supports three SSO providers: Google Workspace (OIDC), Azure AD (SAML), and Clever (for US school districts). All SSO providers auto-provision users on first login with role mapping from the SSO provider’s role/group attributes to Scholarly roles.</w:t>
      </w:r>
    </w:p>
    <w:p>
      <w:pPr>
        <w:pStyle w:val="Heading3"/>
        <w:spacing w:before="160" w:after="80"/>
      </w:pPr>
      <w:r>
        <w:rPr>
          <w:rFonts w:ascii="Arial" w:cs="Arial" w:eastAsia="Arial" w:hAnsi="Arial"/>
          <w:b/>
          <w:bCs/>
          <w:sz w:val="24"/>
          <w:szCs w:val="24"/>
        </w:rPr>
        <w:t xml:space="preserve">3.5 Auth Middleware Wiring</w:t>
      </w:r>
    </w:p>
    <w:p>
      <w:pPr>
        <w:spacing w:after="120"/>
      </w:pPr>
      <w:r>
        <w:rPr>
          <w:rFonts w:ascii="Arial" w:cs="Arial" w:eastAsia="Arial" w:hAnsi="Arial"/>
          <w:sz w:val="22"/>
          <w:szCs w:val="22"/>
        </w:rPr>
        <w:t xml:space="preserve">The AuthMiddlewareWiring service bridges Sprint 18’s auth-middleware.ts (587 lines) to the real Auth0 JWKS endpoint. It resolves the complete authentication configuration: JWKS fetching with caching, token blacklist via Redis, custom claims extraction, per-role rate limits, and COPPA session enforcement.</w:t>
      </w:r>
    </w:p>
    <w:p>
      <w:pPr>
        <w:pStyle w:val="Heading3"/>
        <w:spacing w:before="160" w:after="80"/>
      </w:pPr>
      <w:r>
        <w:rPr>
          <w:rFonts w:ascii="Arial" w:cs="Arial" w:eastAsia="Arial" w:hAnsi="Arial"/>
          <w:b/>
          <w:bCs/>
          <w:sz w:val="24"/>
          <w:szCs w:val="24"/>
        </w:rPr>
        <w:t xml:space="preserve">3.6 API Gateway</w:t>
      </w:r>
    </w:p>
    <w:p>
      <w:pPr>
        <w:spacing w:after="120"/>
      </w:pPr>
      <w:r>
        <w:rPr>
          <w:rFonts w:ascii="Arial" w:cs="Arial" w:eastAsia="Arial" w:hAnsi="Arial"/>
          <w:sz w:val="22"/>
          <w:szCs w:val="22"/>
        </w:rPr>
        <w:t xml:space="preserve">AWS API Gateway HTTP API with JWT authorizer connected to Auth0. Health and auth callback endpoints are public; all other API routes require a valid JWT. Structured access logging enabled with requestId, latency, and status tracking. Custom domain support for production.</w:t>
      </w:r>
    </w:p>
    <w:p>
      <w:pPr>
        <w:pStyle w:val="Heading3"/>
        <w:spacing w:before="160" w:after="80"/>
      </w:pPr>
      <w:r>
        <w:rPr>
          <w:rFonts w:ascii="Arial" w:cs="Arial" w:eastAsia="Arial" w:hAnsi="Arial"/>
          <w:b/>
          <w:bCs/>
          <w:sz w:val="24"/>
          <w:szCs w:val="24"/>
        </w:rPr>
        <w:t xml:space="preserve">3.7 Developer API Key Provisioning</w:t>
      </w:r>
    </w:p>
    <w:p>
      <w:pPr>
        <w:spacing w:after="120"/>
      </w:pPr>
      <w:r>
        <w:rPr>
          <w:rFonts w:ascii="Arial" w:cs="Arial" w:eastAsia="Arial" w:hAnsi="Arial"/>
          <w:sz w:val="22"/>
          <w:szCs w:val="22"/>
        </w:rPr>
        <w:t xml:space="preserve">Three tiers: Free (100 req/day, 5 storybooks/day), Pro (5,000 req/day, 50 storybooks/day), Enterprise (50,000 req/day, 500 storybooks/day). Keys include 24-hour grace period on rotation. Connects Sprint 16’s developer portal to the real API gateway for provisioning and usage metering.</w:t>
      </w:r>
    </w:p>
    <w:p>
      <w:r>
        <w:br w:type="page"/>
      </w:r>
    </w:p>
    <w:p>
      <w:pPr>
        <w:pStyle w:val="Heading2"/>
        <w:spacing w:before="200" w:after="100"/>
      </w:pPr>
      <w:r>
        <w:rPr>
          <w:rFonts w:ascii="Arial" w:cs="Arial" w:eastAsia="Arial" w:hAnsi="Arial"/>
          <w:b/>
          <w:bCs/>
          <w:sz w:val="28"/>
          <w:szCs w:val="28"/>
        </w:rPr>
        <w:t xml:space="preserve">4. S21-002: Audio Narration Pipeline (Path C)</w:t>
      </w:r>
    </w:p>
    <w:p>
      <w:pPr>
        <w:pStyle w:val="Heading3"/>
        <w:spacing w:before="160" w:after="80"/>
      </w:pPr>
      <w:r>
        <w:rPr>
          <w:rFonts w:ascii="Arial" w:cs="Arial" w:eastAsia="Arial" w:hAnsi="Arial"/>
          <w:b/>
          <w:bCs/>
          <w:sz w:val="24"/>
          <w:szCs w:val="24"/>
        </w:rPr>
        <w:t xml:space="preserve">4.1 Voice Persona Library (6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1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Series Assignment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Storyteller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Finn the Fox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 warm, bedtime story voice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Wonder Guide</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Starlight Academy</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Awe-inspired, magical discovery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Cheerful Chef</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Chef Platypus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Upbeat, comedic enthusiasm</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Adventure Narrator</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Robot Ralph</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6-9</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Confident, dramatic tension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Aussie Mate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 stories)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Australian-accented, conversational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 Teacher</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(Information texts)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3-7</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 phonics-clear diction</w:t>
            </w:r>
          </w:p>
        </w:tc>
      </w:tr>
    </w:tbl>
    <w:p>
      <w:pPr>
        <w:pStyle w:val="Heading3"/>
        <w:spacing w:before="160" w:after="80"/>
      </w:pPr>
      <w:r>
        <w:rPr>
          <w:rFonts w:ascii="Arial" w:cs="Arial" w:eastAsia="Arial" w:hAnsi="Arial"/>
          <w:b/>
          <w:bCs/>
          <w:sz w:val="24"/>
          <w:szCs w:val="24"/>
        </w:rPr>
        <w:t xml:space="preserve">4.2 Pace Adaptation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000"/>
        <w:gridCol w:w="1700"/>
        <w:gridCol w:w="12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WPM</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GPC Emphasis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Sentence Pause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1.4x slower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800ms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Steady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1.25x slower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600ms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1.15x slower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450ms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Natural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150</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emphasis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350ms</w:t>
            </w:r>
          </w:p>
        </w:tc>
      </w:tr>
    </w:tbl>
    <w:p>
      <w:pPr>
        <w:spacing w:after="120"/>
      </w:pPr>
      <w:r>
        <w:rPr>
          <w:rFonts w:ascii="Arial" w:cs="Arial" w:eastAsia="Arial" w:hAnsi="Arial"/>
          <w:sz w:val="22"/>
          <w:szCs w:val="22"/>
        </w:rPr>
        <w:t xml:space="preserve">Pace selection uses phonics phase and WCPM band from the learner’s BKT profile. Slower paces emphasise target GPC words by applying SSML prosody tags that slightly slow narration on those words, drawing the child’s ear to the sounds they’re practising.</w:t>
      </w:r>
    </w:p>
    <w:p>
      <w:pPr>
        <w:pStyle w:val="Heading3"/>
        <w:spacing w:before="160" w:after="80"/>
      </w:pPr>
      <w:r>
        <w:rPr>
          <w:rFonts w:ascii="Arial" w:cs="Arial" w:eastAsia="Arial" w:hAnsi="Arial"/>
          <w:b/>
          <w:bCs/>
          <w:sz w:val="24"/>
          <w:szCs w:val="24"/>
        </w:rPr>
        <w:t xml:space="preserve">4.3 SSML Builder</w:t>
      </w:r>
    </w:p>
    <w:p>
      <w:pPr>
        <w:spacing w:after="120"/>
      </w:pPr>
      <w:r>
        <w:rPr>
          <w:rFonts w:ascii="Arial" w:cs="Arial" w:eastAsia="Arial" w:hAnsi="Arial"/>
          <w:sz w:val="22"/>
          <w:szCs w:val="22"/>
        </w:rPr>
        <w:t xml:space="preserve">Constructs Speech Synthesis Markup Language from page text. Wraps sentences in prosody tags matching the pace profile, inserts calibrated breaks between sentences/paragraphs, and applies emphasis on target GPC words. The SSML gives ElevenLabs precise control over speed, pitch, pauses, and emphasis.</w:t>
      </w:r>
    </w:p>
    <w:p>
      <w:pPr>
        <w:pStyle w:val="Heading3"/>
        <w:spacing w:before="160" w:after="80"/>
      </w:pPr>
      <w:r>
        <w:rPr>
          <w:rFonts w:ascii="Arial" w:cs="Arial" w:eastAsia="Arial" w:hAnsi="Arial"/>
          <w:b/>
          <w:bCs/>
          <w:sz w:val="24"/>
          <w:szCs w:val="24"/>
        </w:rPr>
        <w:t xml:space="preserve">4.4 Word-Level Timestamp Sync</w:t>
      </w:r>
    </w:p>
    <w:p>
      <w:pPr>
        <w:spacing w:after="120"/>
      </w:pPr>
      <w:r>
        <w:rPr>
          <w:rFonts w:ascii="Arial" w:cs="Arial" w:eastAsia="Arial" w:hAnsi="Arial"/>
          <w:sz w:val="22"/>
          <w:szCs w:val="22"/>
        </w:rPr>
        <w:t xml:space="preserve">The TimestampAlignmentEngine converts ElevenLabs’ character-level alignment data into word-level timestamps for karaoke highlighting. Each word in the text is mapped to its start and end position in the audio stream with sub-50ms accuracy target. Timestamps include character offsets back to source text for the interactive reader (Sprint 22), target GPC word flags, and confidence scores.</w:t>
      </w:r>
    </w:p>
    <w:p>
      <w:pPr>
        <w:pStyle w:val="Heading3"/>
        <w:spacing w:before="160" w:after="80"/>
      </w:pPr>
      <w:r>
        <w:rPr>
          <w:rFonts w:ascii="Arial" w:cs="Arial" w:eastAsia="Arial" w:hAnsi="Arial"/>
          <w:b/>
          <w:bCs/>
          <w:sz w:val="24"/>
          <w:szCs w:val="24"/>
        </w:rPr>
        <w:t xml:space="preserve">4.5 Dual-Mode Reading Engine</w:t>
      </w:r>
    </w:p>
    <w:p>
      <w:pPr>
        <w:spacing w:after="120"/>
      </w:pPr>
      <w:r>
        <w:rPr>
          <w:rFonts w:ascii="Arial" w:cs="Arial" w:eastAsia="Arial" w:hAnsi="Arial"/>
          <w:sz w:val="22"/>
          <w:szCs w:val="22"/>
        </w:rPr>
        <w:t xml:space="preserve">Two reading modes: Passive mode plays narration with word highlighting and auto-advances pages (bedtime story experience). Active mode records the child’s reading via ASR, compares against expected text using fuzzy phonemic matching (Levenshtein distance ≤ 1 for words &gt; 3 characters), and feeds per-word accuracy data to the BKT mastery engine. The active mode BKT update includes correct/total responses on target GPC words.</w:t>
      </w:r>
    </w:p>
    <w:p>
      <w:pPr>
        <w:pStyle w:val="Heading3"/>
        <w:spacing w:before="160" w:after="80"/>
      </w:pPr>
      <w:r>
        <w:rPr>
          <w:rFonts w:ascii="Arial" w:cs="Arial" w:eastAsia="Arial" w:hAnsi="Arial"/>
          <w:b/>
          <w:bCs/>
          <w:sz w:val="24"/>
          <w:szCs w:val="24"/>
        </w:rPr>
        <w:t xml:space="preserve">4.6 Pipeline Orchestrator</w:t>
      </w:r>
    </w:p>
    <w:p>
      <w:pPr>
        <w:spacing w:after="120"/>
      </w:pPr>
      <w:r>
        <w:rPr>
          <w:rFonts w:ascii="Arial" w:cs="Arial" w:eastAsia="Arial" w:hAnsi="Arial"/>
          <w:sz w:val="22"/>
          <w:szCs w:val="22"/>
        </w:rPr>
        <w:t xml:space="preserve">NarrationPipeline follows the same pattern as Sprint 20’s IllustrationPipeline: for each page, select voice → build SSML → call ElevenLabs → extract timestamps → upload audio to S3 → upload timestamp manifest. Retry with exponential backoff on API failures. Emits narration:generated event on completion.</w:t>
      </w:r>
    </w:p>
    <w:p>
      <w:pPr>
        <w:pStyle w:val="Heading2"/>
        <w:spacing w:before="200" w:after="100"/>
      </w:pPr>
      <w:r>
        <w:rPr>
          <w:rFonts w:ascii="Arial" w:cs="Arial" w:eastAsia="Arial" w:hAnsi="Arial"/>
          <w:b/>
          <w:bCs/>
          <w:sz w:val="28"/>
          <w:szCs w:val="28"/>
        </w:rPr>
        <w:t xml:space="preserve">5. Cost Analysis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Per-Book Cost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 Scale (1,000 books)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(Claude, S19)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$0.15-$0.30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$150-$300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Illustrations (GPT Image, S20)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$0.48-$0.96</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$480-$960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Narration (ElevenLabs, S21)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$0.10-$0.25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$100-$250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S3 + CDN (S20)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~$0.002</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Per 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$0.73-$1.51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$732-$1,512</w:t>
            </w:r>
          </w:p>
        </w:tc>
      </w:tr>
    </w:tbl>
    <w:p>
      <w:pPr>
        <w:pStyle w:val="Heading2"/>
        <w:spacing w:before="200" w:after="100"/>
      </w:pPr>
      <w:r>
        <w:rPr>
          <w:rFonts w:ascii="Arial" w:cs="Arial" w:eastAsia="Arial" w:hAnsi="Arial"/>
          <w:b/>
          <w:bCs/>
          <w:sz w:val="28"/>
          <w:szCs w:val="28"/>
        </w:rPr>
        <w:t xml:space="preserve">6. Sprint 22 Recommendations</w:t>
      </w:r>
    </w:p>
    <w:p>
      <w:pPr>
        <w:spacing w:after="120"/>
      </w:pPr>
      <w:r>
        <w:rPr>
          <w:rFonts w:ascii="Arial" w:cs="Arial" w:eastAsia="Arial" w:hAnsi="Arial"/>
          <w:sz w:val="22"/>
          <w:szCs w:val="22"/>
        </w:rPr>
        <w:t xml:space="preserve">Per the Parallel Sprint Plan, Sprint 22 delivers:</w:t>
      </w:r>
    </w:p>
    <w:p>
      <w:pPr>
        <w:spacing w:after="120"/>
      </w:pPr>
      <w:r>
        <w:rPr>
          <w:rFonts w:ascii="Arial" w:cs="Arial" w:eastAsia="Arial" w:hAnsi="Arial"/>
          <w:b/>
          <w:bCs/>
          <w:sz w:val="22"/>
          <w:szCs w:val="22"/>
        </w:rPr>
        <w:t xml:space="preserve">Path B: NATS Messaging + Event Infrastructure.</w:t>
      </w:r>
    </w:p>
    <w:p>
      <w:pPr>
        <w:spacing w:after="120"/>
      </w:pPr>
      <w:r>
        <w:rPr>
          <w:rFonts w:ascii="Arial" w:cs="Arial" w:eastAsia="Arial" w:hAnsi="Arial"/>
          <w:sz w:val="22"/>
          <w:szCs w:val="22"/>
        </w:rPr>
        <w:t xml:space="preserve">Provision NATS JetStream cluster. Wire event bus abstractions to real NATS. Configure subjects for storybook events (generation complete, review submitted, content published), analytics events (reading session, GPC mastery update), and system events. Webhook delivery service.</w:t>
      </w:r>
    </w:p>
    <w:p>
      <w:pPr>
        <w:spacing w:after="120"/>
      </w:pPr>
      <w:r>
        <w:rPr>
          <w:rFonts w:ascii="Arial" w:cs="Arial" w:eastAsia="Arial" w:hAnsi="Arial"/>
          <w:b/>
          <w:bCs/>
          <w:sz w:val="22"/>
          <w:szCs w:val="22"/>
        </w:rPr>
        <w:t xml:space="preserve">Path C: Interactive Reader &amp; Enchanted Library.</w:t>
      </w:r>
    </w:p>
    <w:p>
      <w:pPr>
        <w:spacing w:after="120"/>
      </w:pPr>
      <w:r>
        <w:rPr>
          <w:rFonts w:ascii="Arial" w:cs="Arial" w:eastAsia="Arial" w:hAnsi="Arial"/>
          <w:sz w:val="22"/>
          <w:szCs w:val="22"/>
        </w:rPr>
        <w:t xml:space="preserve">Build the reading experience that consumes all three pipeline pillars. Interactive reader renders pages with illustration + text overlay, word-level highlight animation synced to Sprint 21’s audio timestamps, swipe/tap navigation. Enchanted Library view with animated bookshelves and personalised shelves. Reading analytics loop publishing to NATS.</w:t>
      </w:r>
    </w:p>
    <w:p>
      <w:pPr>
        <w:pStyle w:val="Heading2"/>
        <w:spacing w:before="200" w:after="100"/>
      </w:pPr>
      <w:r>
        <w:rPr>
          <w:rFonts w:ascii="Arial" w:cs="Arial" w:eastAsia="Arial" w:hAnsi="Arial"/>
          <w:b/>
          <w:bCs/>
          <w:sz w:val="28"/>
          <w:szCs w:val="28"/>
        </w:rPr>
        <w:t xml:space="preserve">7. Cumulative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Post-Sprint 20</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Post-Sprint 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Application Lines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~120,926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~124,080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Terraform Modules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files (+S3/CF/secrets)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 files (+Auth0/Gateway)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Personas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curated personas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Pace Profiles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adaptive profiles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Pipeline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 Illustration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 Illustration + Audio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Mock JWKS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 Auth0 + COPPA + SSO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Security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code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 JWT verification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Cases (cumulative)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~490</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~580</w:t>
            </w:r>
          </w:p>
        </w:tc>
      </w:tr>
    </w:tbl>
    <w:p>
      <w:pPr>
        <w:spacing w:after="120"/>
      </w:pPr>
      <w:r>
        <w:rPr>
          <w:rFonts w:ascii="Arial" w:cs="Arial" w:eastAsia="Arial" w:hAnsi="Arial"/>
          <w:i/>
          <w:iCs/>
          <w:sz w:val="22"/>
          <w:szCs w:val="22"/>
        </w:rPr>
        <w:t xml:space="preserve">— End of Sprint 21 Handoff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2026-02-15T13:59:04.653Z</dcterms:created>
  <dcterms:modified xsi:type="dcterms:W3CDTF">2026-02-15T13:59:04.653Z</dcterms:modified>
</cp:coreProperties>
</file>

<file path=docProps/custom.xml><?xml version="1.0" encoding="utf-8"?>
<Properties xmlns="http://schemas.openxmlformats.org/officeDocument/2006/custom-properties" xmlns:vt="http://schemas.openxmlformats.org/officeDocument/2006/docPropsVTypes"/>
</file>