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36"/>
          <w:szCs w:val="36"/>
        </w:rPr>
        <w:t xml:space="preserve">SCHOLARLY PLATFORM</w:t>
      </w:r>
    </w:p>
    <w:p>
      <w:pPr>
        <w:spacing w:after="100"/>
        <w:jc w:val="center"/>
      </w:pPr>
      <w:r>
        <w:rPr>
          <w:rFonts w:ascii="Arial" w:cs="Arial" w:eastAsia="Arial" w:hAnsi="Arial"/>
          <w:color w:val="2E75B6"/>
          <w:sz w:val="28"/>
          <w:szCs w:val="28"/>
        </w:rPr>
        <w:t xml:space="preserve">Sprint 26 Handoff Document</w:t>
      </w:r>
    </w:p>
    <w:p>
      <w:pPr>
        <w:spacing w:after="100"/>
        <w:jc w:val="center"/>
      </w:pPr>
      <w:r>
        <w:rPr>
          <w:rFonts w:ascii="Arial" w:cs="Arial" w:eastAsia="Arial" w:hAnsi="Arial"/>
          <w:sz w:val="24"/>
          <w:szCs w:val="24"/>
        </w:rPr>
        <w:t xml:space="preserve">Beta Launch + Seed Library</w:t>
      </w:r>
    </w:p>
    <w:p>
      <w:pPr>
        <w:spacing w:after="300"/>
        <w:jc w:val="center"/>
      </w:pPr>
      <w:r>
        <w:rPr>
          <w:rFonts w:ascii="Arial" w:cs="Arial" w:eastAsia="Arial" w:hAnsi="Arial"/>
          <w:i/>
          <w:iCs/>
          <w:sz w:val="22"/>
          <w:szCs w:val="22"/>
        </w:rPr>
        <w:t xml:space="preserve">16 February 2026</w:t>
      </w:r>
    </w:p>
    <w:p>
      <w:pPr>
        <w:pStyle w:val="Heading1"/>
        <w:spacing w:before="300" w:after="200"/>
      </w:pPr>
      <w:r>
        <w:rPr>
          <w:rFonts w:ascii="Arial" w:cs="Arial" w:eastAsia="Arial" w:hAnsi="Arial"/>
          <w:b/>
          <w:bCs/>
          <w:color w:val="1B3A5C"/>
          <w:sz w:val="32"/>
          <w:szCs w:val="32"/>
        </w:rPr>
        <w:t xml:space="preserve">1. Sprint Summary</w:t>
      </w:r>
    </w:p>
    <w:p>
      <w:pPr>
        <w:spacing w:after="120"/>
      </w:pPr>
      <w:r>
        <w:rPr>
          <w:rFonts w:ascii="Arial" w:cs="Arial" w:eastAsia="Arial" w:hAnsi="Arial"/>
          <w:sz w:val="22"/>
          <w:szCs w:val="22"/>
        </w:rPr>
        <w:t xml:space="preserve">Sprint 26 is opening day. Path B provisions the production venue: Terraform composing all Sprint 19-24 modules into a production stack with Multi-AZ RDS (db.r6g.large), ElastiCache cluster (r6g.large with replica), 3-node NATS cluster, ECS auto-scaling (2-8 tasks at 1024/2048), WAF-enabled CloudFront, PagerDuty alerting, and S3 cross-region replication to ap-southeast-1. Beta access management with invite codes (EDU/PAR/GEN/INT prefixes), 4 cohorts, 8 feature flags with cohort/percentage/gradual strategies. OWASP ZAP security scanning (3 profiles: API, baseline, full) with 12 manual OWASP Top 10 checks. 5 disaster recovery procedures with step-by-step AWS CLI runbooks. Path C generates the seed library: 100+ storybooks across Phases 2-5 (20/30/25/25 distribution), 4 multi-phase series (Finn the Fox, Star Scouts, Dino Dig, Ocean Friends), 12 themes, 7 narrative templates, 5 art styles. Quality assurance through automated validation + AI review + 20% manual spot-check. Publication to production with 10 Enchanted Library shelves. 12-step end-to-end verification from login through BKT mastery update.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Metric</w:t>
            </w:r>
          </w:p>
        </w:tc>
        <w:tc>
          <w:tcPr>
            <w:tcW w:type="dxa" w:w="616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Sprint Lines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2,812 across 4 files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Test Cases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120 (60 Path B + 60 Path C)</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Cumulative Lines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~138,083 (135,271 + 2,812)</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Cumulative Tests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~1,160 (1,040 + 120)</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Terraform Modules Composed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11 (from Sprints 19-24)</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Production Config Diffs vs Staging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18 documented with rationale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Beta Feature Flags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 with cohort/percentage/gradual strategies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OWASP ZAP Scan Profiles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 (API, baseline, full)</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Manual Security Checks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12 covering OWASP Top 10</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DR Procedures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 with step-by-step CLI runbooks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Seed Library Target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100+ books (Phases 2-5)</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Series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 multi-phase series with recurring characters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Library Shelves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 (4 curriculum + 4 series + 2 personalised)</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E2E Journey Steps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12 (login → BKT update → Grafana)</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Estimated API Cost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$75-$153 for 100 books</w:t>
            </w:r>
          </w:p>
        </w:tc>
      </w:tr>
    </w:tbl>
    <w:p>
      <w:r>
        <w:br w:type="page"/>
      </w:r>
    </w:p>
    <w:p>
      <w:pPr>
        <w:pStyle w:val="Heading1"/>
        <w:spacing w:before="300" w:after="200"/>
      </w:pPr>
      <w:r>
        <w:rPr>
          <w:rFonts w:ascii="Arial" w:cs="Arial" w:eastAsia="Arial" w:hAnsi="Arial"/>
          <w:b/>
          <w:bCs/>
          <w:color w:val="1B3A5C"/>
          <w:sz w:val="32"/>
          <w:szCs w:val="32"/>
        </w:rPr>
        <w:t xml:space="preserve">2. Deliverables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600"/>
        <w:gridCol w:w="760"/>
      </w:tblGrid>
      <w:tr>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ID</w:t>
            </w:r>
          </w:p>
        </w:tc>
        <w:tc>
          <w:tcPr>
            <w:tcW w:type="dxa" w:w="5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Deliverable</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Path</w:t>
            </w:r>
          </w:p>
        </w:tc>
        <w:tc>
          <w:tcPr>
            <w:tcW w:type="dxa" w:w="76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Lines</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B26-001</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Terraform Production Environment (11 modules, 3 AZ, Multi-AZ RDS, Redis cluster, 3-node NATS)</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B</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~500</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B26-002</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Beta Access Management (invite codes, 4 cohorts, 8 feature flags, feedback collection)</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B</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~400</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B26-003</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Security Penetration Test (OWASP ZAP, 3 profiles, 12 manual checks, launch readiness gate)</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B</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~350</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B26-004</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Disaster Recovery Verification (5 procedures, RDS restore, S3 failover, service rollback)</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B</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~425</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C26-001</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Seed Library Generation (100+ books, 4 series, 12 themes, batched generation)</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C</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~400</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C26-002</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Quality Assurance Pass (automated + AI review + 20% manual spot-check)</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C</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~150</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C26-003</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Library Publication (production DB, S3/CDN, 10 shelves, search index)</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C</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~200</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C26-004</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End-to-End Verification (12-step user journey, login to Grafana)</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C</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~190</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T26</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Test Suite (120 tests)</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B+C</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186</w:t>
            </w:r>
          </w:p>
        </w:tc>
      </w:tr>
    </w:tbl>
    <w:p>
      <w:r>
        <w:br w:type="page"/>
      </w:r>
    </w:p>
    <w:p>
      <w:pPr>
        <w:pStyle w:val="Heading1"/>
        <w:spacing w:before="300" w:after="200"/>
      </w:pPr>
      <w:r>
        <w:rPr>
          <w:rFonts w:ascii="Arial" w:cs="Arial" w:eastAsia="Arial" w:hAnsi="Arial"/>
          <w:b/>
          <w:bCs/>
          <w:color w:val="1B3A5C"/>
          <w:sz w:val="32"/>
          <w:szCs w:val="32"/>
        </w:rPr>
        <w:t xml:space="preserve">3. Path B Details</w:t>
      </w:r>
    </w:p>
    <w:p>
      <w:pPr>
        <w:pStyle w:val="Heading2"/>
        <w:spacing w:before="200" w:after="150"/>
      </w:pPr>
      <w:r>
        <w:rPr>
          <w:rFonts w:ascii="Arial" w:cs="Arial" w:eastAsia="Arial" w:hAnsi="Arial"/>
          <w:b/>
          <w:bCs/>
          <w:color w:val="2E75B6"/>
          <w:sz w:val="28"/>
          <w:szCs w:val="28"/>
        </w:rPr>
        <w:t xml:space="preserve">3.1 Production Environment</w:t>
      </w:r>
    </w:p>
    <w:p>
      <w:pPr>
        <w:spacing w:after="120"/>
      </w:pPr>
      <w:r>
        <w:rPr>
          <w:rFonts w:ascii="Arial" w:cs="Arial" w:eastAsia="Arial" w:hAnsi="Arial"/>
          <w:sz w:val="22"/>
          <w:szCs w:val="22"/>
        </w:rPr>
        <w:t xml:space="preserve">Composes 11 Terraform modules from Sprints 19-24 into production stack. Every sizing decision traces to Sprint 25 load test results: RDS db.r6g.large (Sprint 25: "40% CPU at staging, need headroom for 10x"), Multi-AZ for RTO &lt;5min, read replica for 500+ users, 35-day backup retention, 15-second monitoring interval. Redis r6g.large with automatic failover. 3-node NATS cluster for quorum consensus. ECS 1024/2048 with 60% CPU scaling target (more aggressive than staging’s 70%). WAF enabled for DDoS protection. 90-day log retention for compliance. NAT gateway per AZ. S3 cross-region replication to ap-southeast-1.</w:t>
      </w:r>
    </w:p>
    <w:p>
      <w:pPr>
        <w:pStyle w:val="Heading2"/>
        <w:spacing w:before="200" w:after="150"/>
      </w:pPr>
      <w:r>
        <w:rPr>
          <w:rFonts w:ascii="Arial" w:cs="Arial" w:eastAsia="Arial" w:hAnsi="Arial"/>
          <w:b/>
          <w:bCs/>
          <w:color w:val="2E75B6"/>
          <w:sz w:val="28"/>
          <w:szCs w:val="28"/>
        </w:rPr>
        <w:t xml:space="preserve">3.2 Beta Access</w:t>
      </w:r>
    </w:p>
    <w:p>
      <w:pPr>
        <w:spacing w:after="120"/>
      </w:pPr>
      <w:r>
        <w:rPr>
          <w:rFonts w:ascii="Arial" w:cs="Arial" w:eastAsia="Arial" w:hAnsi="Arial"/>
          <w:sz w:val="22"/>
          <w:szCs w:val="22"/>
        </w:rPr>
        <w:t xml:space="preserve">4 cohorts: internal, educator-beta, parent-beta, general-beta. Invite codes with prefixed generation (EDU-, PAR-, GEN-, INT-), max uses, expiry. 8 feature flags: enchanted-library (educator+internal), read-aloud-mode (educator+parent), community-content (percentage-based), bkt-mastery-display (parent), marketplace-access (internal only), offline-reading (gradual rollout 10%+10%/48h), feedback-widget (always on), narration-pace-adaptive (educator). In-app feedback with type/severity/context. Cohort-level analytics.</w:t>
      </w:r>
    </w:p>
    <w:p>
      <w:pPr>
        <w:pStyle w:val="Heading2"/>
        <w:spacing w:before="200" w:after="150"/>
      </w:pPr>
      <w:r>
        <w:rPr>
          <w:rFonts w:ascii="Arial" w:cs="Arial" w:eastAsia="Arial" w:hAnsi="Arial"/>
          <w:b/>
          <w:bCs/>
          <w:color w:val="2E75B6"/>
          <w:sz w:val="28"/>
          <w:szCs w:val="28"/>
        </w:rPr>
        <w:t xml:space="preserve">3.3 Security</w:t>
      </w:r>
    </w:p>
    <w:p>
      <w:pPr>
        <w:spacing w:after="120"/>
      </w:pPr>
      <w:r>
        <w:rPr>
          <w:rFonts w:ascii="Arial" w:cs="Arial" w:eastAsia="Arial" w:hAnsi="Arial"/>
          <w:sz w:val="22"/>
          <w:szCs w:val="22"/>
        </w:rPr>
        <w:t xml:space="preserve">3 OWASP ZAP profiles (API scan 60min, baseline 30min, full 120min) with Docker CI/CD integration. 12 manual security checks covering authentication (JWT validation), authorisation (RBAC, tenant isolation), input validation (XSS, SQLi, file upload), data protection (COPPA, encryption at rest), API security (rate limiting, CORS), and infrastructure (security groups, secrets exposure). Launch readiness gate: beta blocked if any critical/high findings unresolved or manual checks failed.</w:t>
      </w:r>
    </w:p>
    <w:p>
      <w:pPr>
        <w:pStyle w:val="Heading2"/>
        <w:spacing w:before="200" w:after="150"/>
      </w:pPr>
      <w:r>
        <w:rPr>
          <w:rFonts w:ascii="Arial" w:cs="Arial" w:eastAsia="Arial" w:hAnsi="Arial"/>
          <w:b/>
          <w:bCs/>
          <w:color w:val="2E75B6"/>
          <w:sz w:val="28"/>
          <w:szCs w:val="28"/>
        </w:rPr>
        <w:t xml:space="preserve">3.4 Disaster Recovery</w:t>
      </w:r>
    </w:p>
    <w:p>
      <w:pPr>
        <w:spacing w:after="120"/>
      </w:pPr>
      <w:r>
        <w:rPr>
          <w:rFonts w:ascii="Arial" w:cs="Arial" w:eastAsia="Arial" w:hAnsi="Arial"/>
          <w:sz w:val="22"/>
          <w:szCs w:val="22"/>
        </w:rPr>
        <w:t xml:space="preserve">5 procedures with AWS CLI commands, expected outcomes, timeouts, and verification steps. DR-001: RDS snapshot restore (7 steps, 15-30min, includes ECS scale-down and Secrets Manager update). DR-002: S3 cross-region failover (5 steps, 10-15min, CloudFront origin swap). DR-003: ECS rollback (4 steps, 5-10min, task definition revert). DR-004: Redis failover (4 steps, 5-10min, replica promotion). DR-005: NATS cluster recovery (5 steps, 15-20min, quorum restoration). RTO target: 30min. RPO target: 5min.</w:t>
      </w:r>
    </w:p>
    <w:p>
      <w:r>
        <w:br w:type="page"/>
      </w:r>
    </w:p>
    <w:p>
      <w:pPr>
        <w:pStyle w:val="Heading1"/>
        <w:spacing w:before="300" w:after="200"/>
      </w:pPr>
      <w:r>
        <w:rPr>
          <w:rFonts w:ascii="Arial" w:cs="Arial" w:eastAsia="Arial" w:hAnsi="Arial"/>
          <w:b/>
          <w:bCs/>
          <w:color w:val="1B3A5C"/>
          <w:sz w:val="32"/>
          <w:szCs w:val="32"/>
        </w:rPr>
        <w:t xml:space="preserve">4. Path C Details</w:t>
      </w:r>
    </w:p>
    <w:p>
      <w:pPr>
        <w:pStyle w:val="Heading2"/>
        <w:spacing w:before="200" w:after="150"/>
      </w:pPr>
      <w:r>
        <w:rPr>
          <w:rFonts w:ascii="Arial" w:cs="Arial" w:eastAsia="Arial" w:hAnsi="Arial"/>
          <w:b/>
          <w:bCs/>
          <w:color w:val="2E75B6"/>
          <w:sz w:val="28"/>
          <w:szCs w:val="28"/>
        </w:rPr>
        <w:t xml:space="preserve">4.1 Seed Library Catalog</w:t>
      </w:r>
    </w:p>
    <w:p>
      <w:pPr>
        <w:spacing w:after="120"/>
      </w:pPr>
      <w:r>
        <w:rPr>
          <w:rFonts w:ascii="Arial" w:cs="Arial" w:eastAsia="Arial" w:hAnsi="Arial"/>
          <w:sz w:val="22"/>
          <w:szCs w:val="22"/>
        </w:rPr>
        <w:t xml:space="preserve">100+ books distributed: Phase 2 (20 books, CVC, ages 3-5, 8 pages), Phase 3 (30 books, digraphs/long vowels, ages 4-7, 12 pages), Phase 4 (25 books, clusters, ages 5-7, 16 pages), Phase 5 (25 books, alternative spellings, ages 5-9, 16 pages). 4 multi-phase series: Finn the Fox (Australian bush, 8 books), Star Scouts (space adventure, 6 books), Dino Dig (museum fossils, 6 books), Ocean Friends (sea journey, 6 books). 12 standalone character templates across all themes. Cultural contexts: Urban multicultural, Rural Australian, South Asian, West African, Coastal, Woodland, Suburban. GPC targeting: Phase 2 has 7 GPC groups (s/a/t/p through y/z/qu), Phase 3 has 4 (digraphs through diphthongs), Phase 4 has 5 (consonant clusters), Phase 5 has 4 (split digraphs through alternative spellings).</w:t>
      </w:r>
    </w:p>
    <w:p>
      <w:pPr>
        <w:pStyle w:val="Heading2"/>
        <w:spacing w:before="200" w:after="150"/>
      </w:pPr>
      <w:r>
        <w:rPr>
          <w:rFonts w:ascii="Arial" w:cs="Arial" w:eastAsia="Arial" w:hAnsi="Arial"/>
          <w:b/>
          <w:bCs/>
          <w:color w:val="2E75B6"/>
          <w:sz w:val="28"/>
          <w:szCs w:val="28"/>
        </w:rPr>
        <w:t xml:space="preserve">4.2 End-to-End Journey</w:t>
      </w:r>
    </w:p>
    <w:p>
      <w:pPr>
        <w:spacing w:after="120"/>
      </w:pPr>
      <w:r>
        <w:rPr>
          <w:rFonts w:ascii="Arial" w:cs="Arial" w:eastAsia="Arial" w:hAnsi="Arial"/>
          <w:sz w:val="22"/>
          <w:szCs w:val="22"/>
        </w:rPr>
        <w:t xml:space="preserve">12 verification steps: (1) Beta login with invite code, (2) Enchanted Library loads with 10 shelves, (3) BKT-driven Phase 2 recommendations, (4) Book selection (Finn the Fox), (5) Reading session with CDN-served illustrations, (6) Page-level accuracy/WCPM data, (7) Session complete + BKT mastery update for target GPCs, (8) Updated recommendations exclude completed book, (9) "First Story" achievement earned, (10) Parent dashboard reflects progress, (11) NATS events consumed with 0 lag, (12) Grafana metrics updated. Each step has verification query and dependency chain.</w:t>
      </w:r>
    </w:p>
    <w:p>
      <w:r>
        <w:br w:type="page"/>
      </w:r>
    </w:p>
    <w:p>
      <w:pPr>
        <w:pStyle w:val="Heading1"/>
        <w:spacing w:before="300" w:after="200"/>
      </w:pPr>
      <w:r>
        <w:rPr>
          <w:rFonts w:ascii="Arial" w:cs="Arial" w:eastAsia="Arial" w:hAnsi="Arial"/>
          <w:b/>
          <w:bCs/>
          <w:color w:val="1B3A5C"/>
          <w:sz w:val="32"/>
          <w:szCs w:val="32"/>
        </w:rPr>
        <w:t xml:space="preserve">5. Sprint 27 Preview</w:t>
      </w:r>
    </w:p>
    <w:p>
      <w:pPr>
        <w:spacing w:after="120"/>
      </w:pPr>
      <w:r>
        <w:rPr>
          <w:rFonts w:ascii="Arial" w:cs="Arial" w:eastAsia="Arial" w:hAnsi="Arial"/>
          <w:sz w:val="22"/>
          <w:szCs w:val="22"/>
        </w:rPr>
        <w:t xml:space="preserve">Sprint 27: Self-Composing Interface Integration — Phases 1-4. With production infrastructure operational and the seed library live, Sprints 27-28 wire the 35 self-composing interface files (18,263 lines) into the production codebase. Sprint 27 integrates the core systems: store + registry + sidebar (Phase 1, ~80 lines of wiring), toast + command palette (Phase 2, ~40 lines), seed engine + role matching (Phase 3, ~50 lines), decay + overflow polish (Phase 4, ~35 lines). This is not new feature development — every file has documented integration points.</w:t>
      </w:r>
    </w:p>
    <w:p>
      <w:r>
        <w:br w:type="page"/>
      </w:r>
    </w:p>
    <w:p>
      <w:pPr>
        <w:pStyle w:val="Heading1"/>
        <w:spacing w:before="300" w:after="200"/>
      </w:pPr>
      <w:r>
        <w:rPr>
          <w:rFonts w:ascii="Arial" w:cs="Arial" w:eastAsia="Arial" w:hAnsi="Arial"/>
          <w:b/>
          <w:bCs/>
          <w:color w:val="1B3A5C"/>
          <w:sz w:val="32"/>
          <w:szCs w:val="32"/>
        </w:rPr>
        <w:t xml:space="preserve">6. Cumulative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Metric</w:t>
            </w:r>
          </w:p>
        </w:tc>
        <w:tc>
          <w:tcPr>
            <w:tcW w:type="dxa" w:w="616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Total Lines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~138,083 (Sprints 1-26)</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Terraform Files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34+ infrastructure modules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Test Cases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~1,160</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Production Stack</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Multi-AZ RDS + Redis cluster + 3-node NATS + ECS auto-scale + WAF + CDN + PagerDuty</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Beta Infrastructure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 cohorts, 8 feature flags, invite codes, feedback collection</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Security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 ZAP profiles, 12 manual checks, launch readiness gate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Disaster Recovery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 procedures with CLI runbooks, RTO 30min, RPO 5min</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Seed Library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100+ books, 4 series, 10 Enchanted Library shelves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E2E Verification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12-step journey from login to BKT + Grafana</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Storybook Pipeline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narrative → illustration → audio → reader → library → BKT — complete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20"/>
                <w:szCs w:val="20"/>
              </w:rPr>
              <w:t xml:space="preserve">Infrastructure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VPC + RDS + Redis + S3 + CDN + Auth0 + APIGW + NATS + ECS + CI/CD + Grafana + k6 + Production + DR</w:t>
            </w:r>
          </w:p>
        </w:tc>
      </w:tr>
    </w:tbl>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2026-02-15T17:48:11.724Z</dcterms:created>
  <dcterms:modified xsi:type="dcterms:W3CDTF">2026-02-15T17:48:11.724Z</dcterms:modified>
</cp:coreProperties>
</file>

<file path=docProps/custom.xml><?xml version="1.0" encoding="utf-8"?>
<Properties xmlns="http://schemas.openxmlformats.org/officeDocument/2006/custom-properties" xmlns:vt="http://schemas.openxmlformats.org/officeDocument/2006/docPropsVTypes"/>
</file>