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宁波实验箱接线说明</w:t>
      </w:r>
    </w:p>
    <w:p>
      <w:r>
        <w:rPr>
          <w:b w:val="0"/>
        </w:rPr>
        <w:t>本文用于把串口屏、传感器和执行器连接到微雪 Jetson Xavier NX 开发板。信号分配直接读取当前 JETSON/Sensor/Config.py；全部引脚号都是 40 针排针的 BOARD 物理编号。</w:t>
      </w:r>
    </w:p>
    <w:p>
      <w:r>
        <w:rPr>
          <w:b w:val="0"/>
        </w:rPr>
        <w:t>已确定的信号可以按下表布线；模块额定供电、接口电平和载板 pinmux 仍须对照实物确认。没有型号或驱动的设备单独标注，不把未确认的接口当作已可用。</w:t>
      </w:r>
    </w:p>
    <w:p>
      <w:pPr>
        <w:pStyle w:val="Heading1"/>
      </w:pPr>
      <w:r>
        <w:t>传感器接线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74"/>
        <w:gridCol w:w="2494"/>
        <w:gridCol w:w="5669"/>
      </w:tblGrid>
      <w:tr>
        <w:trPr>
          <w:tblHeader/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设备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信号连接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供电和配置说明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温湿度 DHT11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DATA → 37</w:t>
              <w:br/>
              <w:t>GND → 公共地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供电按模块规格。DATA 的外部上拉和电平必须适配 3.3V；5V 数据端经双向电平转换后接入。代码默认每 2 秒读取。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光照 BH1750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SDA → 3</w:t>
              <w:br/>
              <w:t>SCL → 5</w:t>
              <w:br/>
              <w:t>GND → 公共地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选支持 3.3V 逻辑的模块，SDA/SCL 不能被上拉到 5V。当前 I2C 总线 8，地址 0x23；实际载板总线号需确认。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超声波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TRIG → 32</w:t>
              <w:br/>
              <w:t>ECHO → 33</w:t>
              <w:br/>
              <w:t>GND → 公共地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VCC 按实际模块规格。若 ECHO 输出 5V，必须先转换到 3.3V；TRIG 是否识别 3.3V 高电平也需核对。不要将 5V ECHO 直接接 GPIO。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烟雾 UART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模块 TX → 10 RX</w:t>
              <w:br/>
              <w:t>模块 RX ← 8 TX</w:t>
              <w:br/>
              <w:t>GND → 公共地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当前代码读取 /dev/ttyTHS1，9600 波特，8N1，原始字节。TX 交叉接 RX，电平必须适配 3.3V。Jetson TX 连模块 RX 仅在需要发送命令时使用。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人体温度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暂不分配 GPIO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型号和驱动未提供，当前关闭。先确认是 I2C、UART 或其他接口，再确定供电、地址和接线；不能用 DHT11 环境温度代替。</w:t>
            </w:r>
          </w:p>
        </w:tc>
      </w:tr>
    </w:tbl>
    <w:p>
      <w:pPr>
        <w:spacing w:after="40"/>
      </w:pPr>
    </w:p>
    <w:p>
      <w:pPr>
        <w:pStyle w:val="Heading2"/>
      </w:pPr>
      <w:r>
        <w:t>烟雾模块接口须先核对</w:t>
      </w:r>
    </w:p>
    <w:p>
      <w:r>
        <w:rPr>
          <w:b w:val="0"/>
        </w:rPr>
        <w:t>以上烟雾接线仅适用于当前 UART 驱动。如果实物只有 AO 或 DO，例如常见模拟烟雾模块，就不能按 TX/RX 接线：AO 需要合适 ADC 和电平处理，DO 也要确认输出电平并补对应驱动。当前协议未解码，因此不能保证屏幕显示已标定的烟雾百分比。</w:t>
      </w:r>
    </w:p>
    <w:p>
      <w:pPr>
        <w:pStyle w:val="Heading2"/>
      </w:pPr>
      <w:r>
        <w:t>公共地和电源</w:t>
      </w:r>
    </w:p>
    <w:p>
      <w:r>
        <w:rPr>
          <w:b w:val="0"/>
        </w:rPr>
        <w:t>Jetson GPIO 是逻辑信号端。传感器、驱动板和外部直流电源采用公共地；排针地可用 6、9、14、20、25、30、34、39。供电线与信号线分别标识，先断电布线，再确认没有短路。</w:t>
      </w:r>
    </w:p>
    <w:p>
      <w:r>
        <w:br w:type="page"/>
      </w:r>
    </w:p>
    <w:p>
      <w:pPr>
        <w:pStyle w:val="Heading1"/>
      </w:pPr>
      <w:r>
        <w:t>执行器接线</w:t>
      </w:r>
    </w:p>
    <w:p>
      <w:r>
        <w:rPr>
          <w:b w:val="0"/>
        </w:rPr>
        <w:t>下列 GPIO 只连接执行器驱动输入或舵机信号。电机、风扇、电磁锁和蜂鸣器负载不由 GPIO 直接供电；驱动供电按负载额定值选择。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61"/>
        <w:gridCol w:w="2721"/>
        <w:gridCol w:w="5556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执行器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控制信号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驱动和电源连接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舵机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信号 → 15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信号、VCC、GND 三线核对后连接。用能承受启动电流的外部电源并共地。代码 50 Hz，脉宽 500–2400 μs；支持的角度与脉宽需按型号校准。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蜂鸣器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驱动 IN → 40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通过兼容 3.3V 输入的驱动板或晶体管控制。若为有源/无源或需要不同驱动波形，须按实际型号调整；当前是开关输出。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风扇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继电器或 MOSFET IN → 31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风扇接驱动负载端和匹配电源，Jetson 只控制 IN。直流感性负载采用适当续流保护；电源地与逻辑地共地。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电磁锁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继电器或 MOSFET IN → 29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先确认通电时开锁还是闭锁。当前自动识别开锁关闭；确认负载和继电器含义后才开启 face.unlock_on_match。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RGB 指示灯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R → 12</w:t>
              <w:br/>
              <w:t>G → 35</w:t>
              <w:br/>
              <w:t>B → 38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经每路限流/驱动电路连接。当前 active_high=True；共阴、共阳和驱动板反相须匹配配置。5V 灯模块不得把 5V 反送 GPIO。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步进电机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IN1 → 13</w:t>
              <w:br/>
              <w:t>IN2 → 16</w:t>
              <w:br/>
              <w:t>IN3 → 18</w:t>
              <w:br/>
              <w:t>IN4 → 22</w:t>
            </w:r>
          </w:p>
        </w:tc>
        <w:tc>
          <w:tcPr>
            <w:tcW w:type="dxa" w:w="555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先接四路 IN 驱动板，再由驱动板连接绕组和额定电源。当前驱动是四路相序控制，不适用于只提供 STEP/DIR 的驱动器。</w:t>
            </w:r>
          </w:p>
        </w:tc>
      </w:tr>
    </w:tbl>
    <w:p>
      <w:pPr>
        <w:spacing w:after="40"/>
      </w:pPr>
    </w:p>
    <w:p>
      <w:pPr>
        <w:pStyle w:val="Heading2"/>
      </w:pPr>
      <w:r>
        <w:t>有效电平</w:t>
      </w:r>
    </w:p>
    <w:p>
      <w:r>
        <w:rPr>
          <w:b w:val="0"/>
        </w:rPr>
        <w:t>蜂鸣器、风扇、电磁锁当前均配置 active_high=True，RGB 也为高电平点亮。若实物继电器为低电平有效，必须修改对应 Config.py 配置并核对断电后的默认状态，避免启动时误动作。</w:t>
      </w:r>
    </w:p>
    <w:p>
      <w:pPr>
        <w:pStyle w:val="Heading2"/>
      </w:pPr>
      <w:r>
        <w:t>首次动作验证</w:t>
      </w:r>
    </w:p>
    <w:p>
      <w:r>
        <w:rPr>
          <w:b w:val="0"/>
        </w:rPr>
        <w:t>先验证一个输出通道，再逐个接入负载。舵机先在允许的中间位置测试，步进先确认相序和机械行程。GPIO 读回或驱动自检只能验证相应电气/通信状态，不能证明电机实际转动、舵机到位或锁已打开。</w:t>
      </w:r>
    </w:p>
    <w:p>
      <w:r>
        <w:br w:type="page"/>
      </w:r>
    </w:p>
    <w:p>
      <w:pPr>
        <w:pStyle w:val="Heading1"/>
      </w:pPr>
      <w:r>
        <w:t>串口屏和 USB 设备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31"/>
        <w:gridCol w:w="2948"/>
        <w:gridCol w:w="5159"/>
      </w:tblGrid>
      <w:tr>
        <w:trPr>
          <w:tblHeader/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设备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连接方式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项目设置和核对项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JGUS 串口屏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屏幕 UART ↔ USB 串口适配器</w:t>
              <w:br/>
              <w:t>适配器 → Jetson USB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默认 /dev/ttyUSB0，115200 波特，8N1。屏幕 TX 接适配器 RX，屏幕 RX 接适配器 TX，GND 共地；核对 TTL、RS232 或 RS485 类型。屏幕额定供电尚未确认，不能按 USB 5V 自动推定。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思必驰音频一体设备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USB → Jetson USB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麦克风是音频输入，扬声器是输出；不接 GPIO。使用音频编号、名称、hw:C,D 或采音节点指定输入，不能当成 /dev/ttyUSB* 串口。当前功能是采音和识别文本回写，未加入扬声器播报。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USB 摄像头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USB → Jetson USB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使用实际 /dev/video* 或 /dev/v4l/by-id/* 视频节点。不接 GPIO；不在启动时自动打开，只有录入或识别时打开。需要 USB 扩展时按总功耗选择供电充足的集线器。</w:t>
            </w:r>
          </w:p>
        </w:tc>
      </w:tr>
    </w:tbl>
    <w:p>
      <w:pPr>
        <w:spacing w:after="40"/>
      </w:pPr>
    </w:p>
    <w:p>
      <w:pPr>
        <w:pStyle w:val="Heading2"/>
      </w:pPr>
      <w:r>
        <w:t>可选和未确认模块</w:t>
      </w:r>
    </w:p>
    <w:p>
      <w:r>
        <w:rPr>
          <w:b w:val="0"/>
        </w:rPr>
        <w:t>OLED 当前代码配置为 SH1106、I2C 地址 0x3C，enabled=True；若现场没有此模块，将 oled.enabled 改为 False。屏幕状态页已不显示 OLED，不需要为它新增屏幕地址。</w:t>
      </w:r>
    </w:p>
    <w:p>
      <w:r>
        <w:rPr>
          <w:b w:val="0"/>
        </w:rPr>
        <w:t>电流采样当前关闭。ADS1115 通道、分流电阻和量程是待标定配置，不作为现场接线依据。图中其他状态检测模块若接口未确认，不额外猜测 GPIO 或模拟输入；Jetson 排针没有可直接使用的通用模拟采样输入。</w:t>
      </w:r>
    </w:p>
    <w:p>
      <w:pPr>
        <w:pStyle w:val="Heading2"/>
      </w:pPr>
      <w:r>
        <w:t>上电前逐项确认</w:t>
      </w:r>
    </w:p>
    <w:p>
      <w:r>
        <w:rPr>
          <w:b w:val="0"/>
        </w:rPr>
        <w:t>□ 以载板丝印找准物理 1 号针，核对排针方向；不要只凭照片左右方向接线。</w:t>
      </w:r>
    </w:p>
    <w:p>
      <w:r>
        <w:rPr>
          <w:b w:val="0"/>
        </w:rPr>
        <w:t>□ 核对每个模块额定电源、驱动能力和 3.3V 逻辑接口；确认各直流电路公共地。</w:t>
      </w:r>
    </w:p>
    <w:p>
      <w:r>
        <w:rPr>
          <w:b w:val="0"/>
        </w:rPr>
        <w:t>□ 检查 ECHO、UART 与 I2C 电平转换，确认没有把负载或 5V 信号直接接 GPIO。</w:t>
      </w:r>
    </w:p>
    <w:p>
      <w:r>
        <w:rPr>
          <w:b w:val="0"/>
        </w:rPr>
        <w:t>□ 按微雪载板和 JetPack 确认 GPIO、I2C、UART pinmux；安装脚本不修改未经确认的设备树。</w:t>
      </w:r>
    </w:p>
    <w:p>
      <w:r>
        <w:rPr>
          <w:b w:val="0"/>
        </w:rPr>
        <w:t>□ 在 Jetson 枚举串口、摄像头和声卡后传入真实路径；确认烟雾 UART 没有被串口控制台占用。</w:t>
      </w:r>
    </w:p>
    <w:p>
      <w:r>
        <w:rPr>
          <w:b w:val="0"/>
        </w:rPr>
        <w:t>□ 先做配置检查和加速检查，再启动工程；按屏幕按钮逐项验证传感器及执行器，故障时按停止。</w:t>
      </w:r>
    </w:p>
    <w:p>
      <w:r>
        <w:br w:type="page"/>
      </w:r>
    </w:p>
    <w:p>
      <w:pPr>
        <w:pStyle w:val="Heading1"/>
      </w:pPr>
      <w:r>
        <w:t>40 针排针对照</w:t>
      </w:r>
    </w:p>
    <w:p>
      <w:r>
        <w:rPr>
          <w:b w:val="0"/>
        </w:rPr>
        <w:t>下表按奇数针与偶数针对列，表示编号关系，不表示设备安装时的观看方向。定位必须以载板的 1 号针标识和对应原理图为准。未分配针不能视作任意可用 GPIO。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685"/>
        <w:gridCol w:w="1134"/>
        <w:gridCol w:w="1134"/>
        <w:gridCol w:w="3685"/>
      </w:tblGrid>
      <w:tr>
        <w:trPr>
          <w:tblHeader/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/>
                <w:sz w:val="19"/>
              </w:rPr>
              <w:t>奇数针信号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  <w:shd w:fill="DDEBF7"/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/>
                <w:sz w:val="19"/>
              </w:rPr>
              <w:t>偶数针信号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3.3V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5V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I2C SDA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5V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I2C SCL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GND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未分配/复用待核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UART TX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GND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UART RX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未分配/复用待核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RGB R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步进 IN1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GND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舵机信号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步进 IN2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3.3V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步进 IN3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未分配/复用待核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GND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未分配/复用待核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步进 IN4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未分配/复用待核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未分配/复用待核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GND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未分配/复用待核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未分配/复用待核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未分配/复用待核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门锁继电器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GND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风扇继电器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超声 TRIG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超声 ECHO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GND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RGB G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未分配/复用待核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DHT11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37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38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RGB B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GND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39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  <w:jc w:val="center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110" w:type="dxa"/>
              <w:right w:w="110" w:type="dxa"/>
            </w:tcMar>
          </w:tcPr>
          <w:p>
            <w:pPr>
              <w:spacing w:after="0" w:line="269" w:lineRule="auto"/>
              <w:snapToGrid w:val="0"/>
            </w:pPr>
            <w:r>
              <w:rPr>
                <w:b w:val="0"/>
                <w:sz w:val="19"/>
              </w:rPr>
              <w:t>蜂鸣器</w:t>
            </w:r>
          </w:p>
        </w:tc>
      </w:tr>
    </w:tbl>
    <w:p>
      <w:pPr>
        <w:spacing w:after="40"/>
      </w:pPr>
    </w:p>
    <w:p>
      <w:r>
        <w:rPr>
          <w:b w:val="0"/>
        </w:rPr>
        <w:t>1、17 为 3.3V 电源，2、4 为 5V 电源；这些电源脚不是 GPIO。排针供电可用电流与板卡总功耗须查实际微雪载板资料，电机与锁不依靠此表选择供电。</w:t>
      </w:r>
    </w:p>
    <w:p>
      <w:pPr>
        <w:pStyle w:val="Heading2"/>
      </w:pPr>
      <w:r>
        <w:t>配置来源和参考</w:t>
      </w:r>
    </w:p>
    <w:p>
      <w:r>
        <w:rPr>
          <w:b w:val="0"/>
        </w:rPr>
        <w:t>配置导出 2026年10月13日 依据 Config.py 和 pinmap.py 修改配置后请重新核对本表。</w:t>
      </w:r>
    </w:p>
    <w:p>
      <w:r>
        <w:rPr>
          <w:b w:val="0"/>
        </w:rPr>
        <w:t>载板原理图和具体模块数据手册优先于本表。参考资料链接如下。</w:t>
      </w:r>
    </w:p>
    <w:p>
      <w:hyperlink r:id="rId11">
        <w:r>
          <w:rPr>
            <w:sz w:val="18"/>
          </w:rPr>
          <w:t>微雪 Xavier NX 说明</w:t>
        </w:r>
      </w:hyperlink>
      <w:r>
        <w:t xml:space="preserve">   </w:t>
      </w:r>
      <w:hyperlink r:id="rId12">
        <w:r>
          <w:rPr>
            <w:sz w:val="18"/>
          </w:rPr>
          <w:t>NVIDIA Jetson.GPIO</w:t>
        </w:r>
      </w:hyperlink>
      <w:r>
        <w:t xml:space="preserve">   </w:t>
      </w:r>
      <w:hyperlink r:id="rId13">
        <w:r>
          <w:rPr>
            <w:sz w:val="18"/>
          </w:rPr>
          <w:t>NX 官方用户指南</w:t>
        </w:r>
      </w:hyperlink>
      <w:r>
        <w:t xml:space="preserve">  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宁波实验箱   Jetson Xavier NX   配置日期 2026年10月13日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waveshare.com/wiki/Jetson_Xavier_NX" TargetMode="External"/><Relationship Id="rId12" Type="http://schemas.openxmlformats.org/officeDocument/2006/relationships/hyperlink" Target="https://github.com/NVIDIA/jetson-gpio" TargetMode="External"/><Relationship Id="rId13" Type="http://schemas.openxmlformats.org/officeDocument/2006/relationships/hyperlink" Target="https://files.seeedstudio.com/products/102110427/Jetson_Xavier_NX_Developer_Kit_User_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宁波实验箱接线说明</dc:title>
  <dc:subject>Jetson Xavier NX 串口屏 传感器 执行器接线</dc:subject>
  <dc:creator>宁波实验箱项目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