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eastAsia="SimSun" w:hAnsi="Times New Roman" w:cs="Times New Roman"/>
          <w:sz w:val="24"/>
          <w:szCs w:val="24"/>
        </w:rPr>
        <w:t xml:space="preserve">复杂表格测试</w:t>
      </w: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下面是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HTML 表格</w:t>
      </w:r>
      <w:r>
        <w:rPr>
          <w:rFonts w:ascii="Times New Roman" w:eastAsia="SimSun" w:hAnsi="Times New Roman" w:cs="Times New Roman"/>
          <w:sz w:val="24"/>
          <w:szCs w:val="24"/>
        </w:rPr>
        <w:t xml:space="preserve">（包含多表格 + 复杂样式）：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222222" w:sz="12"/>
              <w:left w:val="single" w:color="222222" w:sz="12"/>
              <w:bottom w:val="single" w:color="222222" w:sz="12"/>
              <w:right w:val="single" w:color="222222" w:sz="12"/>
            </w:tcBorders>
            <w:shd w:fill="F0F0F0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主表头</w:t>
            </w:r>
          </w:p>
        </w:tc>
        <w:tc>
          <w:tcPr>
            <w:tcBorders>
              <w:top w:val="single" w:color="222222" w:sz="12"/>
              <w:left w:val="single" w:color="222222" w:sz="12"/>
              <w:bottom w:val="single" w:color="222222" w:sz="12"/>
              <w:right w:val="single" w:color="222222" w:sz="12"/>
            </w:tcBorders>
            <w:shd w:fill="F0F0F0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信息</w:t>
            </w:r>
          </w:p>
        </w:tc>
        <w:tc>
          <w:tcPr>
            <w:tcBorders>
              <w:top w:val="single" w:color="222222" w:sz="12"/>
              <w:left w:val="single" w:color="222222" w:sz="12"/>
              <w:bottom w:val="single" w:color="222222" w:sz="12"/>
              <w:right w:val="single" w:color="222222" w:sz="12"/>
            </w:tcBorders>
            <w:shd w:fill="F0F0F0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备注</w:t>
            </w:r>
          </w:p>
        </w:tc>
        <w:tc>
          <w:tcPr>
            <w:tcBorders>
              <w:top w:val="single" w:color="222222" w:sz="12"/>
              <w:left w:val="single" w:color="222222" w:sz="12"/>
              <w:bottom w:val="single" w:color="222222" w:sz="12"/>
              <w:right w:val="single" w:color="222222" w:sz="12"/>
            </w:tcBorders>
            <w:shd w:fill="F0F0F0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vMerge w:val="restart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FBE6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合并行</w:t>
            </w:r>
            <w:r>
              <w:br/>
              <w:t xml:space="preserve"/>
            </w:r>
            <w:r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</w:rPr>
              <w:t xml:space="preserve">rowspan=2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color w:val="CC0000"/>
                <w:sz w:val="20"/>
                <w:szCs w:val="20"/>
              </w:rPr>
              <w:t xml:space="preserve">红色文字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righ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右对齐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F5E9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vMerge w:val="continue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/>
        </w:tc>
        <w:tc>
          <w:tcPr>
            <w:gridSpan w:val="2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FEEB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</w:rPr>
              <w:t xml:space="preserve">colspan=2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，含 </w:t>
            </w: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加粗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、</w:t>
            </w:r>
            <w:r>
              <w:rPr>
                <w:rFonts w:ascii="Times New Roman" w:eastAsia="SimSun" w:hAnsi="Times New Roman" w:cs="Times New Roman"/>
                <w:strike/>
                <w:sz w:val="20"/>
                <w:szCs w:val="20"/>
              </w:rPr>
              <w:t xml:space="preserve">删除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、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vertAlign w:val="superscript"/>
              </w:rPr>
              <w:t xml:space="preserve">上标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、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vertAlign w:val="subscript"/>
              </w:rPr>
              <w:t xml:space="preserve">下标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、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code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</w:rPr>
              <w:t xml:space="preserve">Pending</w:t>
            </w:r>
          </w:p>
        </w:tc>
      </w:tr>
      <w:tr>
        <w:trPr>
          <w:tblHeader w:val="false"/>
        </w:trP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3F2FD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浅蓝背景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bottom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下对齐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链接：</w:t>
            </w:r>
            <w:hyperlink w:history="1" r:id="rIdxletg3pjnfoakseww5oda">
              <w:r>
                <w:rPr>
                  <w:rStyle w:val="Hyperlink"/>
                  <w:rFonts w:ascii="Times New Roman" w:eastAsia="SimSun" w:hAnsi="Times New Roman" w:cs="Times New Roman"/>
                  <w:color w:val="0369a1"/>
                  <w:sz w:val="20"/>
                  <w:szCs w:val="20"/>
                  <w:u w:val="single" w:color="0369a1"/>
                </w:rPr>
                <w:t xml:space="preserve">example.com</w:t>
              </w:r>
            </w:hyperlink>
            <w:r>
              <w:br/>
              <w:t xml:space="preserve"/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换行测试 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Mixed</w:t>
            </w:r>
          </w:p>
        </w:tc>
      </w:tr>
      <w:tr>
        <w:trPr>
          <w:tblHeader w:val="false"/>
        </w:trPr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CE4EC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粉色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左对齐 + </w:t>
            </w:r>
            <w:r>
              <w:rPr>
                <w:rFonts w:ascii="Times New Roman" w:eastAsia="SimSun" w:hAnsi="Times New Roman" w:cs="Times New Roman"/>
                <w:strike/>
                <w:sz w:val="20"/>
                <w:szCs w:val="20"/>
              </w:rPr>
              <w:t xml:space="preserve">删除线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both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两端对齐示例文字，用于测试长文本布局。 </w:t>
            </w:r>
          </w:p>
        </w:tc>
        <w:tc>
          <w:tcPr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color w:val="0066CC"/>
                <w:sz w:val="20"/>
                <w:szCs w:val="20"/>
              </w:rPr>
              <w:t xml:space="preserve"> 颜色 + 居中 </w:t>
            </w:r>
          </w:p>
        </w:tc>
      </w:tr>
    </w:tbl>
    <w:p>
      <w:pPr>
        <w:spacing w:before="120" w:after="120"/>
        <w:jc w:val="left"/>
      </w:pPr>
      <w:r>
        <w:rPr>
          <w:i/>
          <w:iCs/>
          <w:color w:val="666666"/>
        </w:rPr>
        <w:t xml:space="preserve">[HTML Content]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DDEEFF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第二个表</w:t>
            </w:r>
          </w:p>
        </w:tc>
        <w:tc>
          <w:tcPr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DDEEFF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描述</w:t>
            </w:r>
          </w:p>
        </w:tc>
        <w:tc>
          <w:tcPr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DDEEFF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A1</w:t>
            </w:r>
          </w:p>
        </w:tc>
        <w:tc>
          <w:tcPr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粗体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+ </w:t>
            </w:r>
            <w:r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</w:rPr>
              <w:t xml:space="preserve">斜体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+ </w:t>
            </w: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code</w:t>
            </w:r>
          </w:p>
        </w:tc>
        <w:tc>
          <w:tcPr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color w:val="2E7D32"/>
                <w:sz w:val="20"/>
                <w:szCs w:val="20"/>
              </w:rPr>
              <w:t xml:space="preserve"> ✅ 通过 </w:t>
            </w:r>
          </w:p>
        </w:tc>
      </w:tr>
      <w:tr>
        <w:trPr>
          <w:tblHeader w:val="false"/>
        </w:trPr>
        <w:tc>
          <w:tcPr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A2</w:t>
            </w:r>
          </w:p>
        </w:tc>
        <w:tc>
          <w:tcPr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多行</w:t>
            </w:r>
            <w:r>
              <w:br/>
              <w:t xml:space="preserve"/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文本</w:t>
            </w:r>
            <w:r>
              <w:br/>
              <w:t xml:space="preserve"/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测试 </w:t>
            </w:r>
          </w:p>
        </w:tc>
        <w:tc>
          <w:tcPr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color w:val="F57C00"/>
                <w:sz w:val="20"/>
                <w:szCs w:val="20"/>
              </w:rPr>
              <w:t xml:space="preserve"> ⏳ 处理中 </w:t>
            </w:r>
          </w:p>
        </w:tc>
      </w:tr>
      <w:tr>
        <w:trPr>
          <w:tblHeader w:val="false"/>
        </w:trPr>
        <w:tc>
          <w:tcPr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A3</w:t>
            </w:r>
          </w:p>
        </w:tc>
        <w:tc>
          <w:tcPr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含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vertAlign w:val="superscript"/>
              </w:rPr>
              <w:t xml:space="preserve">上标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和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vertAlign w:val="subscript"/>
              </w:rPr>
              <w:t xml:space="preserve">下标</w:t>
            </w:r>
          </w:p>
        </w:tc>
        <w:tc>
          <w:tcPr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color w:val="C62828"/>
                <w:sz w:val="20"/>
                <w:szCs w:val="20"/>
              </w:rPr>
              <w:t xml:space="preserve"> ❌ 失败 </w:t>
            </w:r>
          </w:p>
        </w:tc>
      </w:tr>
    </w:tbl>
    <w:p>
      <w:pPr>
        <w:pBdr>
          <w:bottom w:val="single" w:color="E1E4E8" w:sz="12" w:space="1"/>
        </w:pBdr>
        <w:spacing w:before="300" w:after="300" w:line="120" w:lineRule="exact"/>
        <w:jc w:val="left"/>
      </w:pPr>
    </w:p>
    <w:p>
      <w:pPr>
        <w:spacing w:before="60" w:after="1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下面是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标准 Markdown 表格</w:t>
      </w:r>
      <w:r>
        <w:rPr>
          <w:rFonts w:ascii="Times New Roman" w:eastAsia="SimSun" w:hAnsi="Times New Roman" w:cs="Times New Roman"/>
          <w:sz w:val="24"/>
          <w:szCs w:val="24"/>
        </w:rPr>
        <w:t xml:space="preserve">（用于对比）：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项目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描述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e5e5e5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color w:val="171717"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M1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粗体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+ </w:t>
            </w:r>
            <w:r>
              <w:rPr>
                <w:rFonts w:ascii="Times New Roman" w:eastAsia="SimSun" w:hAnsi="Times New Roman" w:cs="Times New Roman"/>
                <w:i/>
                <w:iCs/>
                <w:sz w:val="20"/>
                <w:szCs w:val="20"/>
              </w:rPr>
              <w:t xml:space="preserve">斜体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M2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Consolas" w:eastAsia="FangSong" w:hAnsi="Consolas" w:cs="Consolas"/>
                <w:sz w:val="20"/>
                <w:szCs w:val="20"/>
                <w:shd w:fill="f5f5f5"/>
              </w:rPr>
              <w:t xml:space="preserve">code</w:t>
            </w: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+ </w:t>
            </w:r>
            <w:r>
              <w:rPr>
                <w:rFonts w:ascii="Times New Roman" w:eastAsia="SimSun" w:hAnsi="Times New Roman" w:cs="Times New Roman"/>
                <w:strike/>
                <w:sz w:val="20"/>
                <w:szCs w:val="20"/>
              </w:rPr>
              <w:t xml:space="preserve">删除线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fill="fafa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⏳</w:t>
            </w:r>
          </w:p>
        </w:tc>
      </w:tr>
      <w:tr>
        <w:trPr>
          <w:tblHeader w:val="false"/>
        </w:trPr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M3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普通文本</w:t>
            </w:r>
          </w:p>
        </w:tc>
        <w:tc>
          <w:tcPr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❌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4" w:hanging="403"/>
      </w:pPr>
    </w:lvl>
    <w:lvl w:ilvl="1" w15:tentative="1">
      <w:start w:val="1"/>
      <w:numFmt w:val="lowerRoman"/>
      <w:lvlText w:val="%2."/>
      <w:lvlJc w:val="start"/>
      <w:pPr>
        <w:ind w:left="1209" w:hanging="403"/>
      </w:pPr>
    </w:lvl>
    <w:lvl w:ilvl="2" w15:tentative="1">
      <w:start w:val="1"/>
      <w:numFmt w:val="lowerLetter"/>
      <w:lvlText w:val="%3."/>
      <w:lvlJc w:val="start"/>
      <w:pPr>
        <w:ind w:left="1814" w:hanging="403"/>
      </w:pPr>
    </w:lvl>
    <w:lvl w:ilvl="3" w15:tentative="1">
      <w:start w:val="1"/>
      <w:numFmt w:val="lowerLetter"/>
      <w:lvlText w:val="%4."/>
      <w:lvlJc w:val="start"/>
      <w:pPr>
        <w:ind w:left="2419" w:hanging="403"/>
      </w:pPr>
    </w:lvl>
    <w:lvl w:ilvl="4" w15:tentative="1">
      <w:start w:val="1"/>
      <w:numFmt w:val="lowerLetter"/>
      <w:lvlText w:val="%5."/>
      <w:lvlJc w:val="start"/>
      <w:pPr>
        <w:ind w:left="3024" w:hanging="403"/>
      </w:pPr>
    </w:lvl>
    <w:lvl w:ilvl="5" w15:tentative="1">
      <w:start w:val="1"/>
      <w:numFmt w:val="lowerLetter"/>
      <w:lvlText w:val="%6."/>
      <w:lvlJc w:val="start"/>
      <w:pPr>
        <w:ind w:left="3628" w:hanging="403"/>
      </w:pPr>
    </w:lvl>
    <w:lvl w:ilvl="6" w15:tentative="1">
      <w:start w:val="1"/>
      <w:numFmt w:val="lowerLetter"/>
      <w:lvlText w:val="%7."/>
      <w:lvlJc w:val="start"/>
      <w:pPr>
        <w:ind w:left="4233" w:hanging="403"/>
      </w:pPr>
    </w:lvl>
    <w:lvl w:ilvl="7" w15:tentative="1">
      <w:start w:val="1"/>
      <w:numFmt w:val="lowerLetter"/>
      <w:lvlText w:val="%8."/>
      <w:lvlJc w:val="start"/>
      <w:pPr>
        <w:ind w:left="4838" w:hanging="403"/>
      </w:pPr>
    </w:lvl>
    <w:lvl w:ilvl="8" w15:tentative="1">
      <w:start w:val="1"/>
      <w:numFmt w:val="lowerLetter"/>
      <w:lvlText w:val="%9."/>
      <w:lvlJc w:val="start"/>
      <w:pPr>
        <w:ind w:left="5443" w:hanging="431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sz w:val="24"/>
        <w:szCs w:val="24"/>
      </w:rPr>
    </w:rPrDefault>
    <w:pPrDefault>
      <w:pPr>
        <w:spacing w:line="360" w:before="60"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60" w:after="180" w:line="360"/>
      <w:jc w:val="center"/>
    </w:pPr>
    <w:rPr>
      <w:rFonts w:ascii="Times New Roman" w:eastAsia="SimSun" w:hAnsi="Times New Roman" w:cs="Times New Roman"/>
      <w:b/>
      <w:bCs/>
      <w:color w:val="171717"/>
      <w:sz w:val="44"/>
      <w:szCs w:val="44"/>
    </w:rPr>
  </w:style>
  <w:style w:type="paragraph" w:styleId="heading2">
    <w:name w:val="Heading 2"/>
    <w:basedOn w:val="Normal"/>
    <w:next w:val="Normal"/>
    <w:pPr>
      <w:spacing w:before="380" w:after="100" w:line="360"/>
      <w:jc w:val="left"/>
    </w:pPr>
    <w:rPr>
      <w:rFonts w:ascii="Times New Roman" w:eastAsia="SimSun" w:hAnsi="Times New Roman" w:cs="Times New Roman"/>
      <w:b/>
      <w:bCs/>
      <w:color w:val="171717"/>
      <w:sz w:val="36"/>
      <w:szCs w:val="36"/>
    </w:rPr>
  </w:style>
  <w:style w:type="paragraph" w:styleId="heading3">
    <w:name w:val="Heading 3"/>
    <w:basedOn w:val="Normal"/>
    <w:next w:val="Normal"/>
    <w:pPr>
      <w:spacing w:before="340" w:after="80" w:line="360"/>
      <w:jc w:val="left"/>
    </w:pPr>
    <w:rPr>
      <w:rFonts w:ascii="Times New Roman" w:eastAsia="SimSun" w:hAnsi="Times New Roman" w:cs="Times New Roman"/>
      <w:b/>
      <w:bCs/>
      <w:color w:val="171717"/>
      <w:sz w:val="32"/>
      <w:szCs w:val="32"/>
    </w:rPr>
  </w:style>
  <w:style w:type="paragraph" w:styleId="heading4">
    <w:name w:val="Heading 4"/>
    <w:basedOn w:val="Normal"/>
    <w:next w:val="Normal"/>
    <w:pPr>
      <w:spacing w:before="300" w:after="60" w:line="360"/>
      <w:jc w:val="left"/>
    </w:pPr>
    <w:rPr>
      <w:rFonts w:ascii="Times New Roman" w:eastAsia="SimSun" w:hAnsi="Times New Roman" w:cs="Times New Roman"/>
      <w:b/>
      <w:bCs/>
      <w:color w:val="171717"/>
      <w:sz w:val="28"/>
      <w:szCs w:val="28"/>
    </w:rPr>
  </w:style>
  <w:style w:type="paragraph" w:styleId="heading5">
    <w:name w:val="Heading 5"/>
    <w:basedOn w:val="Normal"/>
    <w:next w:val="Normal"/>
    <w:pPr>
      <w:spacing w:before="260" w:after="40" w:line="360"/>
      <w:jc w:val="left"/>
    </w:pPr>
    <w:rPr>
      <w:rFonts w:ascii="Times New Roman" w:eastAsia="SimSun" w:hAnsi="Times New Roman" w:cs="Times New Roman"/>
      <w:b/>
      <w:bCs/>
      <w:color w:val="171717"/>
      <w:sz w:val="26"/>
      <w:szCs w:val="26"/>
    </w:rPr>
  </w:style>
  <w:style w:type="paragraph" w:styleId="heading6">
    <w:name w:val="Heading 6"/>
    <w:basedOn w:val="Normal"/>
    <w:next w:val="Normal"/>
    <w:pPr>
      <w:spacing w:before="220" w:after="20" w:line="360"/>
      <w:jc w:val="left"/>
    </w:pPr>
    <w:rPr>
      <w:rFonts w:ascii="Times New Roman" w:eastAsia="SimSun" w:hAnsi="Times New Roman" w:cs="Times New Roman"/>
      <w:b/>
      <w:bCs/>
      <w:color w:val="1717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letg3pjnfoakseww5oda" Type="http://schemas.openxmlformats.org/officeDocument/2006/relationships/hyperlink" Target="https://example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Viewer Extension</dc:creator>
  <cp:lastModifiedBy>Markdown Viewer Extension</cp:lastModifiedBy>
  <cp:revision>1</cp:revision>
  <dcterms:created xsi:type="dcterms:W3CDTF">2026-02-03T12:07:50.763Z</dcterms:created>
  <dcterms:modified xsi:type="dcterms:W3CDTF">2026-02-03T12:07:50.763Z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