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Présentation — GitHub &amp; SonarCloud (projet NAFISSA)</w:t>
      </w:r>
    </w:p>
    <w:p>
      <w:r>
        <w:rPr>
          <w:b/>
        </w:rPr>
        <w:t>À qui s’adresse ce document</w:t>
      </w:r>
      <w:r>
        <w:t xml:space="preserve"> : dirigeants, chefs de projet, membres de l’équipe technique et toute personne qui doit </w:t>
      </w:r>
      <w:r>
        <w:rPr>
          <w:b/>
        </w:rPr>
        <w:t>comprendre le dispositif qualité</w:t>
      </w:r>
      <w:r>
        <w:t xml:space="preserve">, sans jargon inutile.  </w:t>
        <w:br/>
      </w:r>
      <w:r>
        <w:rPr>
          <w:b/>
        </w:rPr>
        <w:t>Objectif</w:t>
      </w:r>
      <w:r>
        <w:t xml:space="preserve"> : expliquer </w:t>
      </w:r>
      <w:r>
        <w:rPr>
          <w:b/>
        </w:rPr>
        <w:t>l’utilité</w:t>
      </w:r>
      <w:r>
        <w:t xml:space="preserve"> de ces outils, </w:t>
      </w:r>
      <w:r>
        <w:rPr>
          <w:b/>
        </w:rPr>
        <w:t>le déroulé</w:t>
      </w:r>
      <w:r>
        <w:t xml:space="preserve"> d’une mise à jour du code jusqu’au tableau SonarCloud, et </w:t>
      </w:r>
      <w:r>
        <w:rPr>
          <w:b/>
        </w:rPr>
        <w:t>ce que nous considérons comme de bons indicateurs</w:t>
      </w:r>
      <w:r>
        <w:t>.</w:t>
      </w:r>
    </w:p>
    <w:p>
      <w:pPr>
        <w:pStyle w:val="Heading1"/>
      </w:pPr>
      <w:r>
        <w:t>1. Attention : erreur très fréquente (secret GitHub)</w:t>
      </w:r>
    </w:p>
    <w:p>
      <w:r>
        <w:t xml:space="preserve">Une chaîne comme </w:t>
      </w:r>
      <w:r>
        <w:rPr>
          <w:b/>
        </w:rPr>
        <w:t>`31622e33adfa9f520f1677659792ec0a12ccf2ab`</w:t>
      </w:r>
      <w:r>
        <w:t xml:space="preserve"> est un </w:t>
      </w:r>
      <w:r>
        <w:rPr>
          <w:b/>
        </w:rPr>
        <w:t>identifiant de commit Git</w:t>
      </w:r>
      <w:r>
        <w:t xml:space="preserve"> : elle sert à repérer </w:t>
      </w:r>
      <w:r>
        <w:rPr>
          <w:b/>
        </w:rPr>
        <w:t>une version précise du code</w:t>
      </w:r>
      <w:r>
        <w:t xml:space="preserve">. Ce n’est </w:t>
      </w:r>
      <w:r>
        <w:rPr>
          <w:b/>
        </w:rPr>
        <w:t>pas</w:t>
      </w:r>
      <w:r>
        <w:t xml:space="preserve"> un mot de passe ni un jeton SonarCloud.</w:t>
      </w:r>
    </w:p>
    <w:p>
      <w:r>
        <w:t xml:space="preserve">- </w:t>
      </w:r>
      <w:r>
        <w:rPr>
          <w:b/>
        </w:rPr>
        <w:t>À coller dans le secret GitHub `SONAR_TOKEN`</w:t>
      </w:r>
      <w:r>
        <w:t xml:space="preserve"> : uniquement le </w:t>
      </w:r>
      <w:r>
        <w:rPr>
          <w:b/>
        </w:rPr>
        <w:t>jeton d’analyse</w:t>
      </w:r>
      <w:r>
        <w:t xml:space="preserve"> fourni par SonarCloud — une longue chaîne du type </w:t>
      </w:r>
      <w:r>
        <w:rPr>
          <w:b/>
        </w:rPr>
        <w:t>`squ_...`</w:t>
      </w:r>
      <w:r>
        <w:t xml:space="preserve"> ou </w:t>
      </w:r>
      <w:r>
        <w:rPr>
          <w:b/>
        </w:rPr>
        <w:t>`sqp_...`</w:t>
      </w:r>
      <w:r>
        <w:t xml:space="preserve">, sans guillemets ni texte autour (*Mon compte* → </w:t>
      </w:r>
      <w:r>
        <w:rPr>
          <w:b/>
        </w:rPr>
        <w:t>Sécurité</w:t>
      </w:r>
      <w:r>
        <w:t xml:space="preserve"> → génération de jeton).</w:t>
      </w:r>
    </w:p>
    <w:p>
      <w:r>
        <w:t xml:space="preserve">Si vous voyez bien le tableau de projet sur SonarCloud (analyse récente, indicateurs affichés), </w:t>
      </w:r>
      <w:r>
        <w:rPr>
          <w:b/>
        </w:rPr>
        <w:t>l’analyse fonctionne</w:t>
      </w:r>
      <w:r>
        <w:t>. Le problème peut venir d’un autre jeton utilisé dans un ancien secret : ce n’est alors pas urgent de modifier quoi que ce soit tant que la CI passe.</w:t>
      </w:r>
    </w:p>
    <w:p>
      <w:pPr>
        <w:pStyle w:val="Heading1"/>
      </w:pPr>
      <w:r>
        <w:t>2. Pourquoi nous utilisons GitHub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Besoin organisationnel</w:t>
            </w:r>
          </w:p>
        </w:tc>
        <w:tc>
          <w:tcPr>
            <w:tcW w:type="dxa" w:w="4320"/>
          </w:tcPr>
          <w:p>
            <w:r>
              <w:t>Ce que GitHub apporte concrètement</w:t>
            </w:r>
          </w:p>
        </w:tc>
      </w:tr>
      <w:tr>
        <w:tc>
          <w:tcPr>
            <w:tcW w:type="dxa" w:w="4320"/>
          </w:tcPr>
          <w:p>
            <w:r>
              <w:t>Traçabilité</w:t>
            </w:r>
          </w:p>
        </w:tc>
        <w:tc>
          <w:tcPr>
            <w:tcW w:type="dxa" w:w="4320"/>
          </w:tcPr>
          <w:p>
            <w:r>
              <w:t>Qui a modifié quoi et quand ; possibilité de revenir en arrière.</w:t>
            </w:r>
          </w:p>
        </w:tc>
      </w:tr>
      <w:tr>
        <w:tc>
          <w:tcPr>
            <w:tcW w:type="dxa" w:w="4320"/>
          </w:tcPr>
          <w:p>
            <w:r>
              <w:t>Travail à plusieurs</w:t>
            </w:r>
          </w:p>
        </w:tc>
        <w:tc>
          <w:tcPr>
            <w:tcW w:type="dxa" w:w="4320"/>
          </w:tcPr>
          <w:p>
            <w:r>
              <w:t>Partage du même code maître, validations avant intégration.</w:t>
            </w:r>
          </w:p>
        </w:tc>
      </w:tr>
      <w:tr>
        <w:tc>
          <w:tcPr>
            <w:tcW w:type="dxa" w:w="4320"/>
          </w:tcPr>
          <w:p>
            <w:r>
              <w:t>Validation du code avant fusion</w:t>
            </w:r>
          </w:p>
        </w:tc>
        <w:tc>
          <w:tcPr>
            <w:tcW w:type="dxa" w:w="4320"/>
          </w:tcPr>
          <w:p>
            <w:r>
              <w:t>Les demandes de fusion (*pull requests*) permettent une lecture du changement avant qu’il ne rejoigne la branche principale.</w:t>
            </w:r>
          </w:p>
        </w:tc>
      </w:tr>
      <w:tr>
        <w:tc>
          <w:tcPr>
            <w:tcW w:type="dxa" w:w="4320"/>
          </w:tcPr>
          <w:p>
            <w:r>
              <w:t>Automatisation</w:t>
            </w:r>
          </w:p>
        </w:tc>
        <w:tc>
          <w:tcPr>
            <w:tcW w:type="dxa" w:w="4320"/>
          </w:tcPr>
          <w:p>
            <w:r>
              <w:t>GitHub Actions peut lancer automatiquement des contrôles (construction, tests, analyse de qualité) à chaque envoi vers le dépôt.</w:t>
            </w:r>
          </w:p>
        </w:tc>
      </w:tr>
    </w:tbl>
    <w:p>
      <w:pPr>
        <w:pStyle w:val="Heading1"/>
      </w:pPr>
      <w:r>
        <w:t>3. Pourquoi GitHub Actions sur ce projet ?</w:t>
      </w:r>
    </w:p>
    <w:p>
      <w:r>
        <w:t>À chaque envoi (</w:t>
      </w:r>
      <w:r>
        <w:rPr>
          <w:b/>
        </w:rPr>
        <w:t>push</w:t>
      </w:r>
      <w:r>
        <w:t xml:space="preserve">) ou mise à jour d’une </w:t>
      </w:r>
      <w:r>
        <w:rPr>
          <w:b/>
        </w:rPr>
        <w:t>demande de fusion</w:t>
      </w:r>
      <w:r>
        <w:t xml:space="preserve">, notre fichier </w:t>
      </w:r>
      <w:r>
        <w:rPr>
          <w:b/>
        </w:rPr>
        <w:t>`.github/workflows/ci.yml`</w:t>
      </w:r>
      <w:r>
        <w:t xml:space="preserve"> enchaîne notamment :</w:t>
      </w:r>
    </w:p>
    <w:p>
      <w:r>
        <w:t xml:space="preserve">1. </w:t>
      </w:r>
      <w:r>
        <w:rPr>
          <w:b/>
        </w:rPr>
        <w:t>Interface web (*frontend*)</w:t>
      </w:r>
      <w:r>
        <w:t xml:space="preserve"> : vérifications de style, construction, tests avec fichier de couverture.  </w:t>
        <w:br/>
        <w:t xml:space="preserve">2. </w:t>
      </w:r>
      <w:r>
        <w:rPr>
          <w:b/>
        </w:rPr>
        <w:t>API (*backend-node*)</w:t>
      </w:r>
      <w:r>
        <w:t xml:space="preserve"> : préparation de la couche données, puis tests avec couverture.  </w:t>
        <w:br/>
        <w:t xml:space="preserve">3. </w:t>
      </w:r>
      <w:r>
        <w:rPr>
          <w:b/>
        </w:rPr>
        <w:t>Analyse SonarCloud</w:t>
      </w:r>
      <w:r>
        <w:t xml:space="preserve"> : envoi du résultat des contrôles et des fichiers de couverture pour alimenter le tableau de bord.</w:t>
      </w:r>
    </w:p>
    <w:p>
      <w:r>
        <w:rPr>
          <w:b/>
        </w:rPr>
        <w:t>Intérêt</w:t>
      </w:r>
      <w:r>
        <w:t xml:space="preserve"> : faire remonter un problème </w:t>
      </w:r>
      <w:r>
        <w:rPr>
          <w:b/>
        </w:rPr>
        <w:t>tôt</w:t>
      </w:r>
      <w:r>
        <w:t>, au moment où le changement est proposé, plutôt qu’après mise en ligne.</w:t>
      </w:r>
    </w:p>
    <w:p>
      <w:pPr>
        <w:pStyle w:val="Heading1"/>
      </w:pPr>
      <w:r>
        <w:t>4. Pourquoi SonarCloud ?</w:t>
      </w:r>
    </w:p>
    <w:p>
      <w:r>
        <w:t xml:space="preserve">Les </w:t>
      </w:r>
      <w:r>
        <w:rPr>
          <w:b/>
        </w:rPr>
        <w:t>tests</w:t>
      </w:r>
      <w:r>
        <w:t xml:space="preserve"> vérifient le </w:t>
      </w:r>
      <w:r>
        <w:rPr>
          <w:b/>
        </w:rPr>
        <w:t>comportement</w:t>
      </w:r>
      <w:r>
        <w:t xml:space="preserve"> attendu. Des </w:t>
      </w:r>
      <w:r>
        <w:rPr>
          <w:b/>
        </w:rPr>
        <w:t>contrôles automatiques dans l’éditeur</w:t>
      </w:r>
      <w:r>
        <w:t xml:space="preserve"> ou à la chaîne (*lint*) appliquent des règles de forme ou de conventions sur le fichier.</w:t>
      </w:r>
    </w:p>
    <w:p>
      <w:r>
        <w:rPr>
          <w:b/>
        </w:rPr>
        <w:t>SonarCloud</w:t>
      </w:r>
      <w:r>
        <w:t xml:space="preserve"> complète ces éléments en analysant tout le périmètre déclaré du projet : recherche de </w:t>
      </w:r>
      <w:r>
        <w:rPr>
          <w:b/>
        </w:rPr>
        <w:t>risques de sécurité</w:t>
      </w:r>
      <w:r>
        <w:t xml:space="preserve"> et de </w:t>
      </w:r>
      <w:r>
        <w:rPr>
          <w:b/>
        </w:rPr>
        <w:t>fiabilité</w:t>
      </w:r>
      <w:r>
        <w:t xml:space="preserve">, suivi du </w:t>
      </w:r>
      <w:r>
        <w:rPr>
          <w:b/>
        </w:rPr>
        <w:t>nombre d’anomalies</w:t>
      </w:r>
      <w:r>
        <w:t xml:space="preserve">, des </w:t>
      </w:r>
      <w:r>
        <w:rPr>
          <w:b/>
        </w:rPr>
        <w:t>doublons</w:t>
      </w:r>
      <w:r>
        <w:t xml:space="preserve"> de code, et de la </w:t>
      </w:r>
      <w:r>
        <w:rPr>
          <w:b/>
        </w:rPr>
        <w:t>couverture par les tests</w:t>
      </w:r>
      <w:r>
        <w:t>.</w:t>
      </w:r>
    </w:p>
    <w:p>
      <w:r>
        <w:t xml:space="preserve">Ce n’est </w:t>
      </w:r>
      <w:r>
        <w:rPr>
          <w:b/>
        </w:rPr>
        <w:t>pas</w:t>
      </w:r>
      <w:r>
        <w:t xml:space="preserve"> une garantie à 100 % : il reste la relecture humaine et les tests fonctionnels en conditions réelles. C’est une </w:t>
      </w:r>
      <w:r>
        <w:rPr>
          <w:b/>
        </w:rPr>
        <w:t>boussole commune</w:t>
      </w:r>
      <w:r>
        <w:t>, visible par toute l’équipe.</w:t>
      </w:r>
    </w:p>
    <w:p>
      <w:pPr>
        <w:pStyle w:val="Heading1"/>
      </w:pPr>
      <w:r>
        <w:t>5. Déroulé — de la mise à jour du code au tableau de bord</w:t>
      </w:r>
    </w:p>
    <w:p>
      <w:pPr>
        <w:shd w:fill="F2F2F2"/>
      </w:pPr>
      <w:r>
        <w:rPr>
          <w:rFonts w:ascii="Consolas" w:hAnsi="Consolas"/>
          <w:sz w:val="18"/>
        </w:rPr>
        <w:t>Modification envoyée vers GitHub</w:t>
        <w:br/>
        <w:t xml:space="preserve">              |</w:t>
        <w:br/>
        <w:t xml:space="preserve">              v</w:t>
        <w:br/>
        <w:t>+---------------------------+</w:t>
        <w:br/>
        <w:t>|   GitHub Actions          |</w:t>
        <w:br/>
        <w:t>|---------------------------|</w:t>
        <w:br/>
        <w:t>|  Interface : tests etc.    |</w:t>
        <w:br/>
        <w:t>|  API       : tests etc. |</w:t>
        <w:br/>
        <w:t>|  Analyse SonarCloud       |</w:t>
        <w:br/>
        <w:t>+-------------+-------------+</w:t>
        <w:br/>
        <w:t xml:space="preserve">              |</w:t>
        <w:br/>
        <w:t xml:space="preserve">              v</w:t>
        <w:br/>
        <w:t xml:space="preserve">      Connexion sécurisée vers SonarCloud</w:t>
        <w:br/>
        <w:t xml:space="preserve">      (avec le jeton secret SONAR_TOKEN, stocké uniquement dans GitHub)</w:t>
        <w:br/>
        <w:t xml:space="preserve">              |</w:t>
        <w:br/>
        <w:t xml:space="preserve">              v</w:t>
        <w:br/>
        <w:t xml:space="preserve"> Tableau de bord SonarCloud (indicateurs, anomalies, synthèses)</w:t>
      </w:r>
    </w:p>
    <w:p>
      <w:r>
        <w:t xml:space="preserve">Le secret </w:t>
      </w:r>
      <w:r>
        <w:rPr>
          <w:b/>
        </w:rPr>
        <w:t>`SONAR_TOKEN`</w:t>
      </w:r>
      <w:r>
        <w:t xml:space="preserve"> défini dans GitHub (</w:t>
      </w:r>
      <w:r>
        <w:rPr>
          <w:b/>
        </w:rPr>
        <w:t>Paramètres</w:t>
      </w:r>
      <w:r>
        <w:t xml:space="preserve"> → </w:t>
      </w:r>
      <w:r>
        <w:rPr>
          <w:b/>
        </w:rPr>
        <w:t>Secrets</w:t>
      </w:r>
      <w:r>
        <w:t xml:space="preserve">) sert uniquement à </w:t>
      </w:r>
      <w:r>
        <w:rPr>
          <w:b/>
        </w:rPr>
        <w:t>authentifier l’analyse</w:t>
      </w:r>
      <w:r>
        <w:t xml:space="preserve"> ; il ne doit </w:t>
      </w:r>
      <w:r>
        <w:rPr>
          <w:b/>
        </w:rPr>
        <w:t>jamais</w:t>
      </w:r>
      <w:r>
        <w:t xml:space="preserve"> figurer dans le code source ni dans une pièce jointe non protégée.</w:t>
      </w:r>
    </w:p>
    <w:p>
      <w:pPr>
        <w:pStyle w:val="Heading1"/>
      </w:pPr>
      <w:r>
        <w:t>6. Que signifient les informations sur votre écran SonarCloud ?</w:t>
      </w:r>
    </w:p>
    <w:p>
      <w:r>
        <w:t>D’après le type de vue que vous avez (</w:t>
      </w:r>
      <w:r>
        <w:rPr>
          <w:b/>
        </w:rPr>
        <w:t>Quality Gate</w:t>
      </w:r>
      <w:r>
        <w:t>, notes par lettre, etc.) :</w:t>
      </w:r>
    </w:p>
    <w:p>
      <w:pPr>
        <w:pStyle w:val="Heading2"/>
      </w:pPr>
      <w:r>
        <w:t>6.1 Quality Gate (« seuil global »)</w:t>
      </w:r>
    </w:p>
    <w:p>
      <w:r>
        <w:t xml:space="preserve">- </w:t>
      </w:r>
      <w:r>
        <w:rPr>
          <w:b/>
        </w:rPr>
        <w:t>Réussi (*Passed*)</w:t>
      </w:r>
      <w:r>
        <w:t xml:space="preserve"> : la configuration Sonar utilisée applique plusieurs conditions ; votre dernière analyse les respecte globalement pour la branche considérée (souvent *main* ou la branche liée au dépôt).  </w:t>
        <w:br/>
        <w:t xml:space="preserve">- </w:t>
      </w:r>
      <w:r>
        <w:rPr>
          <w:b/>
        </w:rPr>
        <w:t>Échoué</w:t>
      </w:r>
      <w:r>
        <w:t xml:space="preserve"> : au moins une condition n’est pas remplise ; à traiter selon les règles internes avant une livraison sensible.</w:t>
      </w:r>
    </w:p>
    <w:p>
      <w:r>
        <w:t xml:space="preserve">Une </w:t>
      </w:r>
      <w:r>
        <w:rPr>
          <w:b/>
        </w:rPr>
        <w:t>Quality Gate verte</w:t>
      </w:r>
      <w:r>
        <w:t xml:space="preserve"> peut coexister avec une </w:t>
      </w:r>
      <w:r>
        <w:rPr>
          <w:b/>
        </w:rPr>
        <w:t>note de sécurité basse (*E*, par exemple)</w:t>
      </w:r>
      <w:r>
        <w:t xml:space="preserve"> sur tout le code accumulé sur la durée : les conditions du seuil portent souvent sur le </w:t>
      </w:r>
      <w:r>
        <w:rPr>
          <w:b/>
        </w:rPr>
        <w:t>nouveau</w:t>
      </w:r>
      <w:r>
        <w:t xml:space="preserve"> code ou des limites différentes. Il convient donc de lire aussi la section </w:t>
      </w:r>
      <w:r>
        <w:rPr>
          <w:b/>
        </w:rPr>
        <w:t>problèmes de sécurité</w:t>
      </w:r>
      <w:r>
        <w:t xml:space="preserve"> et leur gravité (</w:t>
      </w:r>
      <w:r>
        <w:rPr>
          <w:b/>
        </w:rPr>
        <w:t>bloquant</w:t>
      </w:r>
      <w:r>
        <w:t xml:space="preserve">, </w:t>
      </w:r>
      <w:r>
        <w:rPr>
          <w:b/>
        </w:rPr>
        <w:t>élevée</w:t>
      </w:r>
      <w:r>
        <w:t>, etc.).</w:t>
      </w:r>
    </w:p>
    <w:p>
      <w:pPr>
        <w:pStyle w:val="Heading2"/>
      </w:pPr>
      <w:r>
        <w:t>6.2 Les notes lettres (**A** à **E**)</w:t>
      </w:r>
    </w:p>
    <w:p>
      <w:r>
        <w:t xml:space="preserve">Résumées par domaine : </w:t>
      </w:r>
      <w:r>
        <w:rPr>
          <w:b/>
        </w:rPr>
        <w:t>sécurité</w:t>
      </w:r>
      <w:r>
        <w:t xml:space="preserve">, </w:t>
      </w:r>
      <w:r>
        <w:rPr>
          <w:b/>
        </w:rPr>
        <w:t>fiabilité</w:t>
      </w:r>
      <w:r>
        <w:t xml:space="preserve">, </w:t>
      </w:r>
      <w:r>
        <w:rPr>
          <w:b/>
        </w:rPr>
        <w:t>maintenabilité</w:t>
      </w:r>
      <w:r>
        <w:t xml:space="preserve"> (les libellés peuvent être en français ou en anglais selon votre interface).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Lettre</w:t>
            </w:r>
          </w:p>
        </w:tc>
        <w:tc>
          <w:tcPr>
            <w:tcW w:type="dxa" w:w="4320"/>
          </w:tcPr>
          <w:p>
            <w:r>
              <w:t>Lecture simple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Situation forte sur cet axe pour le périmètre mesuré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Satisfaisante — quelques anomalies à corriger progressivement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À surveiller — planifier des actions</w:t>
            </w:r>
          </w:p>
        </w:tc>
      </w:tr>
      <w:tr>
        <w:tc>
          <w:tcPr>
            <w:tcW w:type="dxa" w:w="4320"/>
          </w:tcPr>
          <w:p>
            <w:r>
              <w:t>D–E</w:t>
            </w:r>
          </w:p>
        </w:tc>
        <w:tc>
          <w:tcPr>
            <w:tcW w:type="dxa" w:w="4320"/>
          </w:tcPr>
          <w:p>
            <w:r>
              <w:t>Situation sérieuse à planifier (surtout sécurité)</w:t>
            </w:r>
          </w:p>
        </w:tc>
      </w:tr>
    </w:tbl>
    <w:p>
      <w:r>
        <w:t xml:space="preserve">Une note </w:t>
      </w:r>
      <w:r>
        <w:rPr>
          <w:b/>
        </w:rPr>
        <w:t>« UN » ou non affichée</w:t>
      </w:r>
      <w:r>
        <w:t xml:space="preserve"> sur la </w:t>
      </w:r>
      <w:r>
        <w:rPr>
          <w:b/>
        </w:rPr>
        <w:t>maintenabilité</w:t>
      </w:r>
      <w:r>
        <w:t xml:space="preserve"> peut apparaître selon versions ou filtres : se fier surtout au </w:t>
      </w:r>
      <w:r>
        <w:rPr>
          <w:b/>
        </w:rPr>
        <w:t>nombre d’anomalies</w:t>
      </w:r>
      <w:r>
        <w:t xml:space="preserve"> et à leur évolution dans le temps.</w:t>
      </w:r>
    </w:p>
    <w:p>
      <w:pPr>
        <w:pStyle w:val="Heading2"/>
      </w:pPr>
      <w:r>
        <w:t>6.3 Couverture par les tests (« Couverture »)</w:t>
      </w:r>
    </w:p>
    <w:p>
      <w:r>
        <w:t xml:space="preserve">Elle mesure </w:t>
      </w:r>
      <w:r>
        <w:rPr>
          <w:b/>
        </w:rPr>
        <w:t>quelle part du code source déclaré</w:t>
      </w:r>
      <w:r>
        <w:t xml:space="preserve"> est traversée au moins une fois par les tests automatisés.  </w:t>
        <w:br/>
        <w:t xml:space="preserve">Si le message indiquait « </w:t>
      </w:r>
      <w:r>
        <w:rPr>
          <w:b/>
        </w:rPr>
        <w:t>aucune donnée</w:t>
      </w:r>
      <w:r>
        <w:t xml:space="preserve"> », c’est en général un </w:t>
      </w:r>
      <w:r>
        <w:rPr>
          <w:b/>
        </w:rPr>
        <w:t>écart entre les chemins des fichiers</w:t>
      </w:r>
      <w:r>
        <w:t xml:space="preserve"> dans les rapports de tests et ceux analysés — corrigé côté intégration continue pour nos prochains envois ; après le prochain cycle d’analyse, un pourcentage devrait pouvoir apparaître une fois les rapports correctement reliés aux fichiers.</w:t>
      </w:r>
    </w:p>
    <w:p>
      <w:pPr>
        <w:pStyle w:val="Heading1"/>
      </w:pPr>
      <w:r>
        <w:t>7. Vers quoi nous tendons comme « bons résultats » (objectifs équipe)</w:t>
      </w:r>
    </w:p>
    <w:p>
      <w:r>
        <w:t xml:space="preserve">Ces niveaux peuvent être ajustés ensemble avec le pilote technique ; ils servent </w:t>
      </w:r>
      <w:r>
        <w:rPr>
          <w:b/>
        </w:rPr>
        <w:t>d’alignement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Domaine</w:t>
            </w:r>
          </w:p>
        </w:tc>
        <w:tc>
          <w:tcPr>
            <w:tcW w:type="dxa" w:w="2880"/>
          </w:tcPr>
          <w:p>
            <w:r>
              <w:t>Cible générale</w:t>
            </w:r>
          </w:p>
        </w:tc>
        <w:tc>
          <w:tcPr>
            <w:tcW w:type="dxa" w:w="2880"/>
          </w:tcPr>
          <w:p>
            <w:r>
              <w:t>Commentaire</w:t>
            </w:r>
          </w:p>
        </w:tc>
      </w:tr>
      <w:tr>
        <w:tc>
          <w:tcPr>
            <w:tcW w:type="dxa" w:w="2880"/>
          </w:tcPr>
          <w:p>
            <w:r>
              <w:t>Quality Gate</w:t>
            </w:r>
          </w:p>
        </w:tc>
        <w:tc>
          <w:tcPr>
            <w:tcW w:type="dxa" w:w="2880"/>
          </w:tcPr>
          <w:p>
            <w:r>
              <w:t>Maintenir Réussi sur la branche principale</w:t>
            </w:r>
          </w:p>
        </w:tc>
        <w:tc>
          <w:tcPr>
            <w:tcW w:type="dxa" w:w="2880"/>
          </w:tcPr>
          <w:p>
            <w:r>
              <w:t>En cas d’échec, traiter avant une livraison critique.</w:t>
            </w:r>
          </w:p>
        </w:tc>
      </w:tr>
      <w:tr>
        <w:tc>
          <w:tcPr>
            <w:tcW w:type="dxa" w:w="2880"/>
          </w:tcPr>
          <w:p>
            <w:r>
              <w:t>Sécurité</w:t>
            </w:r>
          </w:p>
        </w:tc>
        <w:tc>
          <w:tcPr>
            <w:tcW w:type="dxa" w:w="2880"/>
          </w:tcPr>
          <w:p>
            <w:r>
              <w:t>Améliorer la note et réduire les anomalies bloquantes et élevées sur le nouveau code</w:t>
            </w:r>
          </w:p>
        </w:tc>
        <w:tc>
          <w:tcPr>
            <w:tcW w:type="dxa" w:w="2880"/>
          </w:tcPr>
          <w:p>
            <w:r>
              <w:t>Traiter les points à réviser (*hotspots*) dans l’interface.</w:t>
            </w:r>
          </w:p>
        </w:tc>
      </w:tr>
      <w:tr>
        <w:tc>
          <w:tcPr>
            <w:tcW w:type="dxa" w:w="2880"/>
          </w:tcPr>
          <w:p>
            <w:r>
              <w:t>Fiabilité</w:t>
            </w:r>
          </w:p>
        </w:tc>
        <w:tc>
          <w:tcPr>
            <w:tcW w:type="dxa" w:w="2880"/>
          </w:tcPr>
          <w:p>
            <w:r>
              <w:t>Note A ou B, baisse du nombre d’anomalies ouvertes</w:t>
            </w:r>
          </w:p>
        </w:tc>
        <w:tc>
          <w:tcPr>
            <w:tcW w:type="dxa" w:w="2880"/>
          </w:tcPr>
          <w:p>
            <w:r>
              <w:t>Prioriser le bloquant et l’élevé.</w:t>
            </w:r>
          </w:p>
        </w:tc>
      </w:tr>
      <w:tr>
        <w:tc>
          <w:tcPr>
            <w:tcW w:type="dxa" w:w="2880"/>
          </w:tcPr>
          <w:p>
            <w:r>
              <w:t>Maintenabilité</w:t>
            </w:r>
          </w:p>
        </w:tc>
        <w:tc>
          <w:tcPr>
            <w:tcW w:type="dxa" w:w="2880"/>
          </w:tcPr>
          <w:p>
            <w:r>
              <w:t>Progression maîtrisée</w:t>
            </w:r>
          </w:p>
        </w:tc>
        <w:tc>
          <w:tcPr>
            <w:tcW w:type="dxa" w:w="2880"/>
          </w:tcPr>
          <w:p>
            <w:r>
              <w:t>Ne pas viser zéro anomalie immédiatement : réduire la dette par itérations.</w:t>
            </w:r>
          </w:p>
        </w:tc>
      </w:tr>
      <w:tr>
        <w:tc>
          <w:tcPr>
            <w:tcW w:type="dxa" w:w="2880"/>
          </w:tcPr>
          <w:p>
            <w:r>
              <w:t>Couverture</w:t>
            </w:r>
          </w:p>
        </w:tc>
        <w:tc>
          <w:tcPr>
            <w:tcW w:type="dxa" w:w="2880"/>
          </w:tcPr>
          <w:p>
            <w:r>
              <w:t>Progression sur le long terme (ex. au‑delà de 50 % puis objectif plus haut)</w:t>
            </w:r>
          </w:p>
        </w:tc>
        <w:tc>
          <w:tcPr>
            <w:tcW w:type="dxa" w:w="2880"/>
          </w:tcPr>
          <w:p>
            <w:r>
              <w:t>Le pourcentage seul ne suffit pas ; il accompagne les tests existants.</w:t>
            </w:r>
          </w:p>
        </w:tc>
      </w:tr>
      <w:tr>
        <w:tc>
          <w:tcPr>
            <w:tcW w:type="dxa" w:w="2880"/>
          </w:tcPr>
          <w:p>
            <w:r>
              <w:t>Duplications</w:t>
            </w:r>
          </w:p>
        </w:tc>
        <w:tc>
          <w:tcPr>
            <w:tcW w:type="dxa" w:w="2880"/>
          </w:tcPr>
          <w:p>
            <w:r>
              <w:t>Rester sous les limites fixées par le seuil Sonar ou par l’équipe</w:t>
            </w:r>
          </w:p>
        </w:tc>
        <w:tc>
          <w:tcPr>
            <w:tcW w:type="dxa" w:w="2880"/>
          </w:tcPr>
          <w:p>
            <w:r>
              <w:t>Moins de copier‑coller limite les erreurs répétées.</w:t>
            </w:r>
          </w:p>
        </w:tc>
      </w:tr>
    </w:tbl>
    <w:p>
      <w:r>
        <w:rPr>
          <w:b/>
        </w:rPr>
        <w:t>Principe utile</w:t>
      </w:r>
      <w:r>
        <w:t xml:space="preserve"> : </w:t>
      </w:r>
      <w:r>
        <w:rPr>
          <w:b/>
        </w:rPr>
        <w:t>ne pas dégrader</w:t>
      </w:r>
      <w:r>
        <w:t xml:space="preserve"> le nouveau code — traiter d’abord ce qui est introduit par les derniers changements, puis assainir l’historique.</w:t>
      </w:r>
    </w:p>
    <w:p>
      <w:pPr>
        <w:pStyle w:val="Heading1"/>
      </w:pPr>
      <w:r>
        <w:t>8. Pourquoi vous ne recevez peut‑être pas d’e‑mail</w:t>
      </w:r>
    </w:p>
    <w:p>
      <w:r>
        <w:t xml:space="preserve">SonarCloud </w:t>
      </w:r>
      <w:r>
        <w:rPr>
          <w:b/>
        </w:rPr>
        <w:t>n’envoie pas systématiquement</w:t>
      </w:r>
      <w:r>
        <w:t xml:space="preserve"> un courriel à chaque analyse. Les alertes dépendent de votre </w:t>
      </w:r>
      <w:r>
        <w:rPr>
          <w:b/>
        </w:rPr>
        <w:t>compte</w:t>
      </w:r>
      <w:r>
        <w:t xml:space="preserve"> et des </w:t>
      </w:r>
      <w:r>
        <w:rPr>
          <w:b/>
        </w:rPr>
        <w:t>abonnements</w:t>
      </w:r>
      <w:r>
        <w:t xml:space="preserve"> :</w:t>
      </w:r>
    </w:p>
    <w:p>
      <w:r>
        <w:t xml:space="preserve">- </w:t>
      </w:r>
      <w:r>
        <w:rPr>
          <w:b/>
        </w:rPr>
        <w:t>Mon compte</w:t>
      </w:r>
      <w:r>
        <w:t xml:space="preserve"> → </w:t>
      </w:r>
      <w:r>
        <w:rPr>
          <w:b/>
        </w:rPr>
        <w:t>Notifications</w:t>
      </w:r>
      <w:r>
        <w:t xml:space="preserve"> (ou équivalent) : activer les alertes souhaitées (échec de seuil, nouveaux problèmes, etc.).  </w:t>
        <w:br/>
        <w:t xml:space="preserve">- Vérifier les </w:t>
      </w:r>
      <w:r>
        <w:rPr>
          <w:b/>
        </w:rPr>
        <w:t>indésirables</w:t>
      </w:r>
      <w:r>
        <w:t xml:space="preserve"> (*courrier indésirable*) et l’adresse utilisée pour le compte.</w:t>
      </w:r>
    </w:p>
    <w:p>
      <w:r>
        <w:t xml:space="preserve">Le suivi le plus fiable reste d’ouvrir le </w:t>
      </w:r>
      <w:r>
        <w:rPr>
          <w:b/>
        </w:rPr>
        <w:t>projet</w:t>
      </w:r>
      <w:r>
        <w:t xml:space="preserve"> sur SonarCloud et l’onglet </w:t>
      </w:r>
      <w:r>
        <w:rPr>
          <w:b/>
        </w:rPr>
        <w:t>Actions</w:t>
      </w:r>
      <w:r>
        <w:t xml:space="preserve"> sur GitHub pour voir si la dernière exécution s’est bien terminée.</w:t>
      </w:r>
    </w:p>
    <w:p>
      <w:pPr>
        <w:pStyle w:val="Heading1"/>
      </w:pPr>
      <w:r>
        <w:t>9. Si l’analyse échoue avec « Unexpected char 0xe9 dans Authorization »</w:t>
      </w:r>
    </w:p>
    <w:p>
      <w:r>
        <w:t xml:space="preserve">Cela indique un caractère non autorisé (souvent un </w:t>
      </w:r>
      <w:r>
        <w:rPr>
          <w:b/>
        </w:rPr>
        <w:t>é</w:t>
      </w:r>
      <w:r>
        <w:t xml:space="preserve"> ou un texte collé par erreur) dans le secret </w:t>
      </w:r>
      <w:r>
        <w:rPr>
          <w:b/>
        </w:rPr>
        <w:t>`SONAR_TOKEN`</w:t>
      </w:r>
      <w:r>
        <w:t xml:space="preserve">. Recréez le jeton SonarCloud, copiez </w:t>
      </w:r>
      <w:r>
        <w:rPr>
          <w:b/>
        </w:rPr>
        <w:t>uniquement</w:t>
      </w:r>
      <w:r>
        <w:t xml:space="preserve"> la valeur du jeton depuis le navigateur, et mettez à jour le secret sur GitHub.</w:t>
      </w:r>
    </w:p>
    <w:p>
      <w:pPr>
        <w:pStyle w:val="Heading1"/>
      </w:pPr>
      <w:r>
        <w:t>10. Synthèse</w:t>
      </w:r>
    </w:p>
    <w:p>
      <w:r>
        <w:t xml:space="preserve">- </w:t>
      </w:r>
      <w:r>
        <w:rPr>
          <w:b/>
        </w:rPr>
        <w:t>GitHub</w:t>
      </w:r>
      <w:r>
        <w:t xml:space="preserve"> centralise le code et déclenche les contrôles automatiques.  </w:t>
        <w:br/>
        <w:t xml:space="preserve">- </w:t>
      </w:r>
      <w:r>
        <w:rPr>
          <w:b/>
        </w:rPr>
        <w:t>SonarCloud</w:t>
      </w:r>
      <w:r>
        <w:t xml:space="preserve"> fournit une </w:t>
      </w:r>
      <w:r>
        <w:rPr>
          <w:b/>
        </w:rPr>
        <w:t>photo</w:t>
      </w:r>
      <w:r>
        <w:t xml:space="preserve"> et une </w:t>
      </w:r>
      <w:r>
        <w:rPr>
          <w:b/>
        </w:rPr>
        <w:t>suite</w:t>
      </w:r>
      <w:r>
        <w:t xml:space="preserve"> mesurable de qualité et de sécurité.  </w:t>
        <w:br/>
        <w:t xml:space="preserve">- </w:t>
      </w:r>
      <w:r>
        <w:rPr>
          <w:b/>
        </w:rPr>
        <w:t>De bons résultats</w:t>
      </w:r>
      <w:r>
        <w:t xml:space="preserve"> pour nous : seuil principal </w:t>
      </w:r>
      <w:r>
        <w:rPr>
          <w:b/>
        </w:rPr>
        <w:t>Réussi</w:t>
      </w:r>
      <w:r>
        <w:t xml:space="preserve">, amélioration continue des anomalies </w:t>
      </w:r>
      <w:r>
        <w:rPr>
          <w:b/>
        </w:rPr>
        <w:t>les plus graves</w:t>
      </w:r>
      <w:r>
        <w:t xml:space="preserve">, hotspots de sécurité </w:t>
      </w:r>
      <w:r>
        <w:rPr>
          <w:b/>
        </w:rPr>
        <w:t>revus</w:t>
      </w:r>
      <w:r>
        <w:t xml:space="preserve">, et couverture des tests qui </w:t>
      </w:r>
      <w:r>
        <w:rPr>
          <w:b/>
        </w:rPr>
        <w:t>augmente</w:t>
      </w:r>
      <w:r>
        <w:t>.</w:t>
      </w:r>
    </w:p>
    <w:p>
      <w:pPr>
        <w:pStyle w:val="Heading1"/>
      </w:pPr>
      <w:r>
        <w:t>11. Documents du dépôt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Fichier</w:t>
            </w:r>
          </w:p>
        </w:tc>
        <w:tc>
          <w:tcPr>
            <w:tcW w:type="dxa" w:w="4320"/>
          </w:tcPr>
          <w:p>
            <w:r>
              <w:t>Utilité</w:t>
            </w:r>
          </w:p>
        </w:tc>
      </w:tr>
      <w:tr>
        <w:tc>
          <w:tcPr>
            <w:tcW w:type="dxa" w:w="4320"/>
          </w:tcPr>
          <w:p>
            <w:r>
              <w:t>`GUIDE_UTILISATION.md`</w:t>
            </w:r>
          </w:p>
        </w:tc>
        <w:tc>
          <w:tcPr>
            <w:tcW w:type="dxa" w:w="4320"/>
          </w:tcPr>
          <w:p>
            <w:r>
              <w:t>Installation et utilisation de l’application.</w:t>
            </w:r>
          </w:p>
        </w:tc>
      </w:tr>
      <w:tr>
        <w:tc>
          <w:tcPr>
            <w:tcW w:type="dxa" w:w="4320"/>
          </w:tcPr>
          <w:p>
            <w:r>
              <w:t>`GUIDE_SONARQUBE.md`</w:t>
            </w:r>
          </w:p>
        </w:tc>
        <w:tc>
          <w:tcPr>
            <w:tcW w:type="dxa" w:w="4320"/>
          </w:tcPr>
          <w:p>
            <w:r>
              <w:t>Détail technique Sonar et intégration continue.</w:t>
            </w:r>
          </w:p>
        </w:tc>
      </w:tr>
      <w:tr>
        <w:tc>
          <w:tcPr>
            <w:tcW w:type="dxa" w:w="4320"/>
          </w:tcPr>
          <w:p>
            <w:r>
              <w:t>`PRESENTATION_SONAR_CLOUD_GITHUB_ACTIONS.docx`</w:t>
            </w:r>
          </w:p>
        </w:tc>
        <w:tc>
          <w:tcPr>
            <w:tcW w:type="dxa" w:w="4320"/>
          </w:tcPr>
          <w:p>
            <w:r>
              <w:t>Version Word pour réunion ou partage (régénérée à partir du présent fichier).</w:t>
            </w:r>
          </w:p>
        </w:tc>
      </w:tr>
    </w:tbl>
    <w:p>
      <w:r>
        <w:t>Régénérer le fichier Word après avoir modifié ce texte :</w:t>
      </w:r>
    </w:p>
    <w:p>
      <w:pPr>
        <w:shd w:fill="F2F2F2"/>
      </w:pPr>
      <w:r>
        <w:rPr>
          <w:rFonts w:ascii="Consolas" w:hAnsi="Consolas"/>
          <w:sz w:val="18"/>
        </w:rPr>
        <w:t>python scripts/md/_presentation_to_docx.py</w:t>
      </w:r>
    </w:p>
    <w:p>
      <w:r>
        <w:t>*NAFISSA — présentation interne (GitHub et SonarCloud).*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et SonarCloud — projet NAFISSA</dc:title>
  <dc:subject>Présentation équipe CI / qualité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