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AI: review-renstra</w:t>
      </w:r>
    </w:p>
    <w:p>
      <w:r>
        <w:t>Berdasarkan dokumen yang tersedia, saya akan memberikan evaluasi Renstra dengan fokus pada **Dinas Pendidikan** sebagai instansi fokus dalam konteks evaluasi lokal.</w:t>
      </w:r>
    </w:p>
    <w:p/>
    <w:p>
      <w:pPr>
        <w:pStyle w:val="Heading2"/>
      </w:pPr>
      <w:r>
        <w:t>EVALUASI RENSTRA KECAMATAN BANYUWANGI TERKAIT URUSAN PENDIDIKAN</w:t>
      </w:r>
    </w:p>
    <w:p/>
    <w:p>
      <w:pPr>
        <w:pStyle w:val="Heading2"/>
      </w:pPr>
      <w:r>
        <w:t>1. KESELARASAN VISI, MISI, TUJUAN, DAN SASARAN STRATEGIS</w:t>
      </w:r>
    </w:p>
    <w:p/>
    <w:p>
      <w:r>
        <w:t>**Visi Kabupaten Banyuwangi 2025-2029:**</w:t>
      </w:r>
    </w:p>
    <w:p>
      <w:r>
        <w:t>"Mewujudkan Banyuwangi yang MAJU, SEJAHTERA dan BERKAH untuk SEMUA"</w:t>
      </w:r>
    </w:p>
    <w:p/>
    <w:p>
      <w:r>
        <w:t>**Misi yang Relevan dengan Pendidikan:**</w:t>
      </w:r>
    </w:p>
    <w:p>
      <w:r>
        <w:t>- Misi 3: "Memantapkan Penciptaan SDM Unggul dan Berkarakter yang Memegang Nilai Keagamaan dan Menghormati Kearifan Lokal"</w:t>
      </w:r>
    </w:p>
    <w:p/>
    <w:p>
      <w:r>
        <w:t>**Tujuan Kecamatan Banyuwangi:**</w:t>
      </w:r>
    </w:p>
    <w:p>
      <w:r>
        <w:t>"Meningkatnya Kualitas Pelayanan Publik"</w:t>
      </w:r>
    </w:p>
    <w:p/>
    <w:p>
      <w:r>
        <w:t>**Sasaran Strategis:**</w:t>
      </w:r>
    </w:p>
    <w:p>
      <w:r>
        <w:t>1. Meningkatnya Kualitas Layanan Administrasi</w:t>
      </w:r>
    </w:p>
    <w:p>
      <w:r>
        <w:t>2. Meningkatnya Kualitas Kinerja Kecamatan</w:t>
      </w:r>
    </w:p>
    <w:p/>
    <w:p>
      <w:pPr>
        <w:pStyle w:val="Heading2"/>
      </w:pPr>
      <w:r>
        <w:t>2. EVALUASI KESELARASAN</w:t>
      </w:r>
    </w:p>
    <w:p/>
    <w:p>
      <w:pPr>
        <w:pStyle w:val="Heading2"/>
      </w:pPr>
      <w:r>
        <w:t>Kekuatan:</w:t>
      </w:r>
    </w:p>
    <w:p>
      <w:r>
        <w:t>- **Cascading yang Jelas**: Terdapat keterkaitan langsung antara Misi 3 RPJMD dengan sasaran kualitas pelayanan publik di tingkat kecamatan</w:t>
      </w:r>
    </w:p>
    <w:p>
      <w:r>
        <w:t>- **Fokus SDM Unggul**: Visi dan misi mendukung pengembangan sumber daya manusia berkualitas melalui pendidikan</w:t>
      </w:r>
    </w:p>
    <w:p/>
    <w:p>
      <w:pPr>
        <w:pStyle w:val="Heading2"/>
      </w:pPr>
      <w:r>
        <w:t>Kelemahan:</w:t>
      </w:r>
    </w:p>
    <w:p>
      <w:r>
        <w:t>- **Ketidakspesifikan Urusan Pendidikan**: Tujuan dan sasaran kecamatan terlalu umum dan tidak secara eksplisit menyebutkan urusan pendidikan</w:t>
      </w:r>
    </w:p>
    <w:p>
      <w:r>
        <w:t>- **Indikator Kurang Tepat**: Indikator sasaran (IKM dan persentase kepuasan) lebih mengarah pada pelayanan administratif, bukan outcome pendidikan</w:t>
      </w:r>
    </w:p>
    <w:p/>
    <w:p>
      <w:pPr>
        <w:pStyle w:val="Heading2"/>
      </w:pPr>
      <w:r>
        <w:t>3. EVALUASI INDIKATOR KINERJA</w:t>
      </w:r>
    </w:p>
    <w:p/>
    <w:p>
      <w:pPr>
        <w:pStyle w:val="Heading2"/>
      </w:pPr>
      <w:r>
        <w:t>Indikator Tujuan:</w:t>
      </w:r>
    </w:p>
    <w:p>
      <w:r>
        <w:t>- **Indeks Kepuasan Masyarakat (IKM)**: Target 2025-2029 dari 85% ke 91,33%</w:t>
      </w:r>
    </w:p>
    <w:p>
      <w:r>
        <w:t>- **Evaluasi**: Indikator ini bersifat output (kepuasan layanan), bukan outcome pendidikan</w:t>
      </w:r>
    </w:p>
    <w:p/>
    <w:p>
      <w:pPr>
        <w:pStyle w:val="Heading2"/>
      </w:pPr>
      <w:r>
        <w:t>Indikator Sasaran:</w:t>
      </w:r>
    </w:p>
    <w:p>
      <w:r>
        <w:t>- **Persentase penyelesaian pengaduan masyarakat**: Target 100%</w:t>
      </w:r>
    </w:p>
    <w:p>
      <w:r>
        <w:t>- **Persentase ketercapaian kinerja kecamatan**: Target 90-96%</w:t>
      </w:r>
    </w:p>
    <w:p>
      <w:r>
        <w:t>- **Nilai SAKIP**: Target 83,47-85,47</w:t>
      </w:r>
    </w:p>
    <w:p/>
    <w:p>
      <w:pPr>
        <w:pStyle w:val="Heading2"/>
      </w:pPr>
      <w:r>
        <w:t>Evaluasi Indikator:</w:t>
      </w:r>
    </w:p>
    <w:p>
      <w:r>
        <w:t>❌ **Tidak Berorientasi Outcome Pendidikan**: Semua indikator berfokus pada kualitas pelayanan administratif, bukan pada hasil pendidikan seperti:</w:t>
      </w:r>
    </w:p>
    <w:p>
      <w:r>
        <w:t>- Angka Partisipasi Sekolah (APS)</w:t>
      </w:r>
    </w:p>
    <w:p>
      <w:r>
        <w:t>- Skor literasi dan numerasi</w:t>
      </w:r>
    </w:p>
    <w:p>
      <w:r>
        <w:t>- Indeks iklim keamanan/kebinekaan sekolah</w:t>
      </w:r>
    </w:p>
    <w:p/>
    <w:p>
      <w:pPr>
        <w:pStyle w:val="Heading2"/>
      </w:pPr>
      <w:r>
        <w:t>4. ANALISIS PROGRAM TERKAIT PENDIDIKAN</w:t>
      </w:r>
    </w:p>
    <w:p/>
    <w:p>
      <w:pPr>
        <w:pStyle w:val="Heading2"/>
      </w:pPr>
      <w:r>
        <w:t>Program yang Relevan:</w:t>
      </w:r>
    </w:p>
    <w:p>
      <w:r>
        <w:t>1. **Program Penyelenggaraan Pemerintahan dan Pelayanan Publik**</w:t>
      </w:r>
    </w:p>
    <w:p>
      <w:r>
        <w:t xml:space="preserve">   - Target: 72,50% - 82,50%</w:t>
      </w:r>
    </w:p>
    <w:p>
      <w:r>
        <w:t xml:space="preserve">   - Fokus: Pelayanan administratif</w:t>
      </w:r>
    </w:p>
    <w:p/>
    <w:p>
      <w:r>
        <w:t>2. **Program Pemberdayaan Masyarakat Desa dan Kelurahan**</w:t>
      </w:r>
    </w:p>
    <w:p>
      <w:r>
        <w:t xml:space="preserve">   - Target: 23-27 kegiatan</w:t>
      </w:r>
    </w:p>
    <w:p>
      <w:r>
        <w:t xml:space="preserve">   - Potensi mendukung pendidikan masyarakat</w:t>
      </w:r>
    </w:p>
    <w:p/>
    <w:p>
      <w:pPr>
        <w:pStyle w:val="Heading2"/>
      </w:pPr>
      <w:r>
        <w:t>Evaluasi Program:</w:t>
      </w:r>
    </w:p>
    <w:p>
      <w:r>
        <w:t>- **Tidak Ada Program Spesifik Pendidikan**: Kecamatan tidak memiliki program yang secara eksplisit menangani urusan pendidikan</w:t>
      </w:r>
    </w:p>
    <w:p>
      <w:r>
        <w:t>- **Koordinasi Lemah**: Tidak terlihat mekanisme koordinasi dengan Dinas Pendidikan</w:t>
      </w:r>
    </w:p>
    <w:p/>
    <w:p>
      <w:pPr>
        <w:pStyle w:val="Heading2"/>
      </w:pPr>
      <w:r>
        <w:t>5. REKOMENDASI PERBAIKAN</w:t>
      </w:r>
    </w:p>
    <w:p/>
    <w:p>
      <w:pPr>
        <w:pStyle w:val="Heading2"/>
      </w:pPr>
      <w:r>
        <w:t>A. Penyempurnaan Sasaran Strategis:</w:t>
      </w:r>
    </w:p>
    <w:p>
      <w:r>
        <w:t>1. **Tambahkan Sasaran Khusus Pendidikan**:</w:t>
      </w:r>
    </w:p>
    <w:p>
      <w:r>
        <w:t xml:space="preserve">   - "Meningkatnya Kualitas Penyelenggaraan Urusan Pendidikan di Tingkat Kecamatan"</w:t>
      </w:r>
    </w:p>
    <w:p/>
    <w:p>
      <w:pPr>
        <w:pStyle w:val="Heading2"/>
      </w:pPr>
      <w:r>
        <w:t>B. Revisi Indikator Berorientasi Outcome:</w:t>
      </w:r>
    </w:p>
    <w:p>
      <w:r>
        <w:t>1. **Indikator Akses Pendidikan**:</w:t>
      </w:r>
    </w:p>
    <w:p>
      <w:r>
        <w:t xml:space="preserve">   - Angka Partisipasi Sekolah (APS) 5-6 tahun: Target 94,51% (2029)</w:t>
      </w:r>
    </w:p>
    <w:p>
      <w:r>
        <w:t xml:space="preserve">   - APS 7-15 tahun: Target 100% (2029)</w:t>
      </w:r>
    </w:p>
    <w:p>
      <w:r>
        <w:t xml:space="preserve">   - APS 7-18 tahun (kesetaraan): Target 40,57% (2029)</w:t>
      </w:r>
    </w:p>
    <w:p/>
    <w:p>
      <w:r>
        <w:t>2. **Indikator Kualitas Pendidikan**:</w:t>
      </w:r>
    </w:p>
    <w:p>
      <w:r>
        <w:t xml:space="preserve">   - Skor literasi SD: Target 73,67 (2029)</w:t>
      </w:r>
    </w:p>
    <w:p>
      <w:r>
        <w:t xml:space="preserve">   - Skor numerasi SD: Target 66,14 (2029)</w:t>
      </w:r>
    </w:p>
    <w:p>
      <w:r>
        <w:t xml:space="preserve">   - Skor literasi SMP: Target 81,95 (2029)</w:t>
      </w:r>
    </w:p>
    <w:p>
      <w:r>
        <w:t xml:space="preserve">   - Skor numerasi SMP: Target 71,59 (2029)</w:t>
      </w:r>
    </w:p>
    <w:p/>
    <w:p>
      <w:r>
        <w:t>3. **Indikator Lingkungan Belajar**:</w:t>
      </w:r>
    </w:p>
    <w:p>
      <w:r>
        <w:t xml:space="preserve">   - Indeks iklim keamanan SD: Target 82,74 (2029)</w:t>
      </w:r>
    </w:p>
    <w:p>
      <w:r>
        <w:t xml:space="preserve">   - Indeks iklim kebinekaan SD: Target 80,07 (2029)</w:t>
      </w:r>
    </w:p>
    <w:p>
      <w:r>
        <w:t xml:space="preserve">   - Indeks inklusivitas SMP: Target 63,84 (2029)</w:t>
      </w:r>
    </w:p>
    <w:p/>
    <w:p>
      <w:pPr>
        <w:pStyle w:val="Heading2"/>
      </w:pPr>
      <w:r>
        <w:t>C. Penguatan Program:</w:t>
      </w:r>
    </w:p>
    <w:p>
      <w:r>
        <w:t>1. **Tambahkan Program Koordinasi Pendidikan**:</w:t>
      </w:r>
    </w:p>
    <w:p>
      <w:r>
        <w:t xml:space="preserve">   - Koordinasi dengan Dinas Pendidikan</w:t>
      </w:r>
    </w:p>
    <w:p>
      <w:r>
        <w:t xml:space="preserve">   - Fasilitasi penyelenggaraan pendidikan di kelurahan</w:t>
      </w:r>
    </w:p>
    <w:p>
      <w:r>
        <w:t xml:space="preserve">   - Monitoring dan evaluasi pendidikan</w:t>
      </w:r>
    </w:p>
    <w:p/>
    <w:p>
      <w:pPr>
        <w:pStyle w:val="Heading2"/>
      </w:pPr>
      <w:r>
        <w:t>D. Strategi dan Arah Kebijakan:</w:t>
      </w:r>
    </w:p>
    <w:p>
      <w:r>
        <w:t>1. **Perkuat Koordinasi Lintas Sektor**:</w:t>
      </w:r>
    </w:p>
    <w:p>
      <w:r>
        <w:t xml:space="preserve">   - Sinergi dengan Dinas Pendidikan dalam perencanaan</w:t>
      </w:r>
    </w:p>
    <w:p>
      <w:r>
        <w:t xml:space="preserve">   - Koordinasi penanganan anak tidak sekolah</w:t>
      </w:r>
    </w:p>
    <w:p>
      <w:r>
        <w:t xml:space="preserve">   - Fasilitasi akses pendidikan kesetaraan</w:t>
      </w:r>
    </w:p>
    <w:p/>
    <w:p>
      <w:r>
        <w:t>2. **Pemberdayaan Masyarakat Bidang Pendidikan**:</w:t>
      </w:r>
    </w:p>
    <w:p>
      <w:r>
        <w:t xml:space="preserve">   - Program literasi masyarakat</w:t>
      </w:r>
    </w:p>
    <w:p>
      <w:r>
        <w:t xml:space="preserve">   - Pembentukan kelompok belajar</w:t>
      </w:r>
    </w:p>
    <w:p>
      <w:r>
        <w:t xml:space="preserve">   - Pengembangan perpustakaan kelurahan</w:t>
      </w:r>
    </w:p>
    <w:p/>
    <w:p>
      <w:pPr>
        <w:pStyle w:val="Heading2"/>
      </w:pPr>
      <w:r>
        <w:t>6. KESIMPULAN</w:t>
      </w:r>
    </w:p>
    <w:p/>
    <w:p>
      <w:r>
        <w:t>Renstra Kecamatan Banyuwangi **belum optimal** dalam mengintegrasikan urusan pendidikan. Meskipun terdapat keselarasan umum dengan visi-misi daerah, namun tujuan, sasaran, dan indikator kinerja tidak secara spesifik mengarah pada outcome pendidikan. Diperlukan revisi untuk menambahkan sasaran khusus pendidikan dengan indikator yang berorientasi pada hasil dan dampak pendidikan.</w:t>
      </w:r>
    </w:p>
    <w:p/>
    <w:p>
      <w:r>
        <w:t>**[DRAFT: Harap periksa ulang]**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