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3E9B" w14:textId="1C1B7582" w:rsidR="00414E09" w:rsidRPr="00414E09" w:rsidRDefault="005F39A5" w:rsidP="00CC03C7">
      <w:pPr>
        <w:pStyle w:val="1"/>
      </w:pPr>
      <w:r>
        <w:fldChar w:fldCharType="begin"/>
      </w:r>
      <w:r>
        <w:instrText>HYPERLINK "https://developer.mozilla.org/en-US/docs/Web/API/ReadableStream"</w:instrText>
      </w:r>
      <w:r>
        <w:fldChar w:fldCharType="separate"/>
      </w:r>
      <w:r w:rsidR="00414E09" w:rsidRPr="00414E09">
        <w:rPr>
          <w:rStyle w:val="a7"/>
        </w:rPr>
        <w:t>ReadableStream</w:t>
      </w:r>
      <w:r>
        <w:rPr>
          <w:rStyle w:val="a7"/>
        </w:rPr>
        <w:fldChar w:fldCharType="end"/>
      </w:r>
    </w:p>
    <w:p w14:paraId="17B2ACE8" w14:textId="1B04DE6E" w:rsidR="00DD667F" w:rsidRDefault="00DD667F" w:rsidP="00CC03C7">
      <w:pPr>
        <w:pStyle w:val="2"/>
      </w:pPr>
      <w:r w:rsidRPr="00DD667F">
        <w:rPr>
          <w:rFonts w:hint="eastAsia"/>
        </w:rPr>
        <w:t>介绍</w:t>
      </w:r>
    </w:p>
    <w:p w14:paraId="5E8ED805" w14:textId="11568499" w:rsidR="00414E09" w:rsidRDefault="00414E09" w:rsidP="00CC03C7">
      <w:proofErr w:type="spellStart"/>
      <w:r w:rsidRPr="00CC03C7">
        <w:t>StreamsAPI</w:t>
      </w:r>
      <w:proofErr w:type="spellEnd"/>
      <w:r w:rsidRPr="00CC03C7">
        <w:t>中的</w:t>
      </w:r>
      <w:proofErr w:type="spellStart"/>
      <w:r w:rsidRPr="00CC03C7">
        <w:t>ReadableStream</w:t>
      </w:r>
      <w:proofErr w:type="spellEnd"/>
      <w:r w:rsidRPr="00CC03C7">
        <w:t>接口表示一个可读的字节数据流。</w:t>
      </w:r>
      <w:r w:rsidRPr="00CC03C7">
        <w:t>Fetch</w:t>
      </w:r>
      <w:r w:rsidR="00AE0BF6">
        <w:rPr>
          <w:rFonts w:hint="eastAsia"/>
        </w:rPr>
        <w:t xml:space="preserve"> </w:t>
      </w:r>
      <w:r w:rsidRPr="00CC03C7">
        <w:t>API</w:t>
      </w:r>
      <w:r w:rsidRPr="00CC03C7">
        <w:t>通过</w:t>
      </w:r>
      <w:r w:rsidRPr="00CC03C7">
        <w:t>Response</w:t>
      </w:r>
      <w:r w:rsidRPr="00CC03C7">
        <w:t>对象的</w:t>
      </w:r>
      <w:r w:rsidRPr="00CC03C7">
        <w:t>body</w:t>
      </w:r>
      <w:r w:rsidRPr="00CC03C7">
        <w:t>属性提供了一个具体的</w:t>
      </w:r>
      <w:proofErr w:type="spellStart"/>
      <w:r w:rsidRPr="00CC03C7">
        <w:t>ReadableStream</w:t>
      </w:r>
      <w:proofErr w:type="spellEnd"/>
      <w:r w:rsidRPr="00CC03C7">
        <w:t>实例。</w:t>
      </w:r>
    </w:p>
    <w:p w14:paraId="33D2102B" w14:textId="15179277" w:rsidR="00353129" w:rsidRPr="00CC03C7" w:rsidRDefault="00353129" w:rsidP="00CC03C7">
      <w:proofErr w:type="spellStart"/>
      <w:r>
        <w:rPr>
          <w:rFonts w:hint="eastAsia"/>
        </w:rPr>
        <w:t>ReadableStream</w:t>
      </w:r>
      <w:proofErr w:type="spellEnd"/>
      <w:r>
        <w:rPr>
          <w:rFonts w:hint="eastAsia"/>
        </w:rPr>
        <w:t>是一个</w:t>
      </w:r>
      <w:r w:rsidR="005F39A5">
        <w:fldChar w:fldCharType="begin"/>
      </w:r>
      <w:r w:rsidR="005F39A5">
        <w:instrText>HYPERLINK "https://developer.mozilla.org/en-US/docs/Web/API/Web_Workers_API/Transferable_objects"</w:instrText>
      </w:r>
      <w:r w:rsidR="005F39A5">
        <w:fldChar w:fldCharType="separate"/>
      </w:r>
      <w:r w:rsidRPr="00353129">
        <w:rPr>
          <w:rStyle w:val="a7"/>
          <w:rFonts w:hint="eastAsia"/>
        </w:rPr>
        <w:t>可传输对象</w:t>
      </w:r>
      <w:r w:rsidR="005F39A5">
        <w:rPr>
          <w:rStyle w:val="a7"/>
        </w:rPr>
        <w:fldChar w:fldCharType="end"/>
      </w:r>
    </w:p>
    <w:p w14:paraId="678F7C48" w14:textId="201C2040" w:rsidR="00147FCF" w:rsidRPr="00EC6A54" w:rsidRDefault="00147FCF" w:rsidP="00CC03C7">
      <w:pPr>
        <w:pStyle w:val="2"/>
      </w:pPr>
      <w:r>
        <w:rPr>
          <w:rFonts w:hint="eastAsia"/>
        </w:rPr>
        <w:t>继承于：</w:t>
      </w:r>
    </w:p>
    <w:p w14:paraId="3ED3A889" w14:textId="3381CCAE" w:rsidR="00DD667F" w:rsidRDefault="00DD667F" w:rsidP="00CC03C7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CC03C7">
      <w:pPr>
        <w:pStyle w:val="3"/>
      </w:pPr>
      <w:r>
        <w:rPr>
          <w:rFonts w:hint="eastAsia"/>
        </w:rPr>
        <w:t>构造函数</w:t>
      </w:r>
    </w:p>
    <w:p w14:paraId="5D64D44A" w14:textId="3EC0494F" w:rsidR="00414E09" w:rsidRDefault="00414E09" w:rsidP="00CC03C7">
      <w:proofErr w:type="spellStart"/>
      <w:r w:rsidRPr="00CC03C7">
        <w:t>ReadableStream</w:t>
      </w:r>
      <w:proofErr w:type="spellEnd"/>
      <w:r w:rsidRPr="00CC03C7">
        <w:t>()</w:t>
      </w:r>
      <w:r w:rsidRPr="00CC03C7">
        <w:t>创建并返回一个可读流对象，使用给定的处理程序。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727"/>
        <w:gridCol w:w="6795"/>
      </w:tblGrid>
      <w:tr w:rsidR="0023170E" w14:paraId="2083D584" w14:textId="77777777" w:rsidTr="00280B6C">
        <w:tc>
          <w:tcPr>
            <w:tcW w:w="10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64F7D40" w14:textId="672F4D0F" w:rsidR="0023170E" w:rsidRPr="0023170E" w:rsidRDefault="0023170E" w:rsidP="0023170E">
            <w:pPr>
              <w:pStyle w:val="af1"/>
            </w:pPr>
            <w:bookmarkStart w:id="0" w:name="_Hlk165984280"/>
            <w:r w:rsidRPr="0023170E">
              <w:t>参数名称</w:t>
            </w:r>
          </w:p>
        </w:tc>
        <w:tc>
          <w:tcPr>
            <w:tcW w:w="3987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284ECF8" w14:textId="1CAC2A0B" w:rsidR="0023170E" w:rsidRPr="0023170E" w:rsidRDefault="0023170E" w:rsidP="0023170E">
            <w:pPr>
              <w:pStyle w:val="af1"/>
            </w:pPr>
            <w:r w:rsidRPr="0023170E">
              <w:t>参数描述</w:t>
            </w:r>
          </w:p>
        </w:tc>
      </w:tr>
      <w:tr w:rsidR="0023170E" w14:paraId="0289EDBE" w14:textId="77777777" w:rsidTr="00280B6C">
        <w:tc>
          <w:tcPr>
            <w:tcW w:w="101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A2E03F" w14:textId="0255D925" w:rsidR="0023170E" w:rsidRPr="0023170E" w:rsidRDefault="0023170E" w:rsidP="0023170E">
            <w:pPr>
              <w:pStyle w:val="af1"/>
            </w:pPr>
            <w:proofErr w:type="spellStart"/>
            <w:r w:rsidRPr="0023170E">
              <w:t>underlyingSource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926"/>
              <w:gridCol w:w="4653"/>
            </w:tblGrid>
            <w:tr w:rsidR="0023170E" w14:paraId="44B2FDEB" w14:textId="77777777" w:rsidTr="00280B6C">
              <w:tc>
                <w:tcPr>
                  <w:tcW w:w="1464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2CDA1B9E" w14:textId="517F7D78" w:rsidR="0023170E" w:rsidRDefault="0023170E" w:rsidP="00280B6C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536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46625065" w14:textId="22FD3585" w:rsidR="0023170E" w:rsidRDefault="0023170E" w:rsidP="00280B6C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280B6C" w14:paraId="406DA2B8" w14:textId="77777777" w:rsidTr="00280B6C">
              <w:tc>
                <w:tcPr>
                  <w:tcW w:w="1464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1C4084C" w14:textId="6FE4486A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start(controller)</w:t>
                  </w:r>
                </w:p>
              </w:tc>
              <w:tc>
                <w:tcPr>
                  <w:tcW w:w="3536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87F22F9" w14:textId="6008D502" w:rsidR="00280B6C" w:rsidRPr="00280B6C" w:rsidRDefault="00280B6C" w:rsidP="00280B6C">
                  <w:pPr>
                    <w:pStyle w:val="af1"/>
                  </w:pPr>
                  <w:r w:rsidRPr="00280B6C">
                    <w:t>构建时调用，定义</w:t>
                  </w:r>
                  <w:proofErr w:type="gramStart"/>
                  <w:r w:rsidRPr="00280B6C">
                    <w:t>流源访问</w:t>
                  </w:r>
                  <w:proofErr w:type="gramEnd"/>
                  <w:r w:rsidRPr="00280B6C">
                    <w:t>和设置。异步时返回承诺。</w:t>
                  </w:r>
                </w:p>
              </w:tc>
            </w:tr>
            <w:tr w:rsidR="00280B6C" w14:paraId="6B9DCD4C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90834DA" w14:textId="550A8E51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pull(controller)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AE05806" w14:textId="6B67952E" w:rsidR="00280B6C" w:rsidRPr="00280B6C" w:rsidRDefault="00280B6C" w:rsidP="00280B6C">
                  <w:pPr>
                    <w:pStyle w:val="af1"/>
                  </w:pPr>
                  <w:r w:rsidRPr="00280B6C">
                    <w:t>内部队列不满时调用，直至高水位。返回承诺时暂停调用。</w:t>
                  </w:r>
                </w:p>
              </w:tc>
            </w:tr>
            <w:tr w:rsidR="00280B6C" w14:paraId="38D37507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D9C4C3" w14:textId="2A0692D1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cancel(reason)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05E32E7" w14:textId="2A55FE7B" w:rsidR="00280B6C" w:rsidRPr="00280B6C" w:rsidRDefault="00280B6C" w:rsidP="00280B6C">
                  <w:pPr>
                    <w:pStyle w:val="af1"/>
                  </w:pPr>
                  <w:proofErr w:type="gramStart"/>
                  <w:r w:rsidRPr="00280B6C">
                    <w:t>流取消</w:t>
                  </w:r>
                  <w:proofErr w:type="gramEnd"/>
                  <w:r w:rsidRPr="00280B6C">
                    <w:t>时调用，释放流源。异步时返回承诺。</w:t>
                  </w:r>
                </w:p>
              </w:tc>
            </w:tr>
            <w:tr w:rsidR="00280B6C" w14:paraId="04C5D283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33D4E5C" w14:textId="4E905D20" w:rsidR="00280B6C" w:rsidRPr="00280B6C" w:rsidRDefault="00280B6C" w:rsidP="00280B6C">
                  <w:pPr>
                    <w:pStyle w:val="af1"/>
                    <w:spacing w:line="240" w:lineRule="auto"/>
                  </w:pPr>
                  <w:r w:rsidRPr="00280B6C">
                    <w:t>type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1F3E5DC" w14:textId="71C931F0" w:rsidR="00280B6C" w:rsidRPr="00280B6C" w:rsidRDefault="00280B6C" w:rsidP="00280B6C">
                  <w:pPr>
                    <w:pStyle w:val="af1"/>
                  </w:pPr>
                  <w:r w:rsidRPr="00280B6C">
                    <w:t>控制流类型，</w:t>
                  </w:r>
                  <w:r w:rsidRPr="00280B6C">
                    <w:t>bytes</w:t>
                  </w:r>
                  <w:r w:rsidRPr="00280B6C">
                    <w:t>时为</w:t>
                  </w:r>
                  <w:proofErr w:type="spellStart"/>
                  <w:r w:rsidRPr="00280B6C">
                    <w:t>ReadableByteStreamController</w:t>
                  </w:r>
                  <w:proofErr w:type="spellEnd"/>
                  <w:r w:rsidRPr="00280B6C">
                    <w:t>。</w:t>
                  </w:r>
                </w:p>
              </w:tc>
            </w:tr>
            <w:tr w:rsidR="00280B6C" w14:paraId="257E3A12" w14:textId="77777777" w:rsidTr="00280B6C">
              <w:tc>
                <w:tcPr>
                  <w:tcW w:w="1464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29F1EAFE" w14:textId="37F326CA" w:rsidR="00280B6C" w:rsidRPr="00280B6C" w:rsidRDefault="00280B6C" w:rsidP="00280B6C">
                  <w:pPr>
                    <w:pStyle w:val="af1"/>
                    <w:spacing w:line="240" w:lineRule="auto"/>
                  </w:pPr>
                  <w:proofErr w:type="spellStart"/>
                  <w:r w:rsidRPr="00280B6C">
                    <w:t>autoAllocateChunkSize</w:t>
                  </w:r>
                  <w:proofErr w:type="spellEnd"/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40D0CE11" w14:textId="01A84831" w:rsidR="00280B6C" w:rsidRPr="00280B6C" w:rsidRDefault="00280B6C" w:rsidP="00280B6C">
                  <w:pPr>
                    <w:pStyle w:val="af1"/>
                  </w:pPr>
                  <w:r w:rsidRPr="00280B6C">
                    <w:t>字节流自动分配功能，设置正整数启用。</w:t>
                  </w:r>
                </w:p>
              </w:tc>
            </w:tr>
          </w:tbl>
          <w:p w14:paraId="0F81D30A" w14:textId="77777777" w:rsidR="0023170E" w:rsidRPr="0023170E" w:rsidRDefault="0023170E" w:rsidP="00280B6C">
            <w:pPr>
              <w:pStyle w:val="af1"/>
            </w:pPr>
          </w:p>
        </w:tc>
      </w:tr>
      <w:tr w:rsidR="0023170E" w14:paraId="0A728A46" w14:textId="77777777" w:rsidTr="00280B6C"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7253F7" w14:textId="1C511BDD" w:rsidR="0023170E" w:rsidRPr="0023170E" w:rsidRDefault="0023170E" w:rsidP="0023170E">
            <w:pPr>
              <w:pStyle w:val="af1"/>
            </w:pPr>
            <w:proofErr w:type="spellStart"/>
            <w:r w:rsidRPr="0023170E">
              <w:t>queuingStrategy</w:t>
            </w:r>
            <w:proofErr w:type="spellEnd"/>
            <w:r w:rsidRPr="0023170E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23170E" w14:paraId="50CE89D1" w14:textId="77777777" w:rsidTr="00280B6C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A96634D" w14:textId="77777777" w:rsidR="0023170E" w:rsidRDefault="0023170E" w:rsidP="0023170E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66C38DF" w14:textId="77777777" w:rsidR="0023170E" w:rsidRDefault="0023170E" w:rsidP="0023170E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23170E" w14:paraId="0EB7085C" w14:textId="77777777" w:rsidTr="00280B6C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E8A09B8" w14:textId="3B5E7CA3" w:rsidR="0023170E" w:rsidRPr="00280B6C" w:rsidRDefault="00280B6C" w:rsidP="00280B6C">
                  <w:pPr>
                    <w:pStyle w:val="af1"/>
                  </w:pPr>
                  <w:proofErr w:type="spellStart"/>
                  <w:r w:rsidRPr="00280B6C">
                    <w:t>highWaterMark</w:t>
                  </w:r>
                  <w:proofErr w:type="spellEnd"/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30A395D0" w14:textId="30189DA0" w:rsidR="0023170E" w:rsidRPr="00280B6C" w:rsidRDefault="00280B6C" w:rsidP="00280B6C">
                  <w:pPr>
                    <w:pStyle w:val="af1"/>
                  </w:pPr>
                  <w:r w:rsidRPr="00280B6C">
                    <w:t>一个非负整数</w:t>
                  </w:r>
                  <w:r w:rsidRPr="00280B6C">
                    <w:t>—</w:t>
                  </w:r>
                  <w:r w:rsidRPr="00280B6C">
                    <w:t>这定义了在应用</w:t>
                  </w:r>
                  <w:proofErr w:type="gramStart"/>
                  <w:r w:rsidRPr="00280B6C">
                    <w:t>背压之前</w:t>
                  </w:r>
                  <w:proofErr w:type="gramEnd"/>
                  <w:r w:rsidRPr="00280B6C">
                    <w:t>内部队列中可以包含的块的总数。</w:t>
                  </w:r>
                  <w:r w:rsidR="000B3FC6"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23170E" w14:paraId="061CD24E" w14:textId="77777777" w:rsidTr="00280B6C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EC862F4" w14:textId="32E05022" w:rsidR="0023170E" w:rsidRPr="00280B6C" w:rsidRDefault="00280B6C" w:rsidP="00280B6C">
                  <w:pPr>
                    <w:pStyle w:val="af1"/>
                  </w:pPr>
                  <w:r w:rsidRPr="00280B6C"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888E098" w14:textId="7EC7FC6E" w:rsidR="0023170E" w:rsidRPr="00280B6C" w:rsidRDefault="00280B6C" w:rsidP="00280B6C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>—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3D0BD837" w14:textId="77777777" w:rsidR="0023170E" w:rsidRPr="0023170E" w:rsidRDefault="0023170E" w:rsidP="0023170E">
            <w:pPr>
              <w:pStyle w:val="af1"/>
            </w:pPr>
          </w:p>
        </w:tc>
      </w:tr>
    </w:tbl>
    <w:bookmarkEnd w:id="0"/>
    <w:p w14:paraId="3F9D6191" w14:textId="2755DA45" w:rsidR="00DD667F" w:rsidRDefault="00DD667F" w:rsidP="00CC03C7">
      <w:pPr>
        <w:pStyle w:val="3"/>
      </w:pPr>
      <w:r>
        <w:rPr>
          <w:rFonts w:hint="eastAsia"/>
        </w:rPr>
        <w:t>静态方法</w:t>
      </w:r>
    </w:p>
    <w:p w14:paraId="5D4CF424" w14:textId="407E6C16" w:rsidR="00414E09" w:rsidRPr="00CC03C7" w:rsidRDefault="00414E09" w:rsidP="00CC03C7">
      <w:proofErr w:type="spellStart"/>
      <w:r w:rsidRPr="00CC03C7">
        <w:t>ReadableStream.from</w:t>
      </w:r>
      <w:proofErr w:type="spellEnd"/>
      <w:r w:rsidRPr="00CC03C7">
        <w:t>()</w:t>
      </w:r>
      <w:r w:rsidRPr="00CC03C7">
        <w:t>（实验性）从提供的可迭代对象或异步可迭代对象（例如数组、集合、异步生成器等）返回</w:t>
      </w:r>
      <w:proofErr w:type="spellStart"/>
      <w:r w:rsidRPr="00CC03C7">
        <w:t>ReadableStream</w:t>
      </w:r>
      <w:proofErr w:type="spellEnd"/>
      <w:r w:rsidRPr="00CC03C7">
        <w:t>。</w:t>
      </w:r>
    </w:p>
    <w:p w14:paraId="527DC87F" w14:textId="5C4450DD" w:rsidR="00DD667F" w:rsidRDefault="00DD667F" w:rsidP="00CC03C7">
      <w:pPr>
        <w:pStyle w:val="3"/>
      </w:pPr>
      <w:r>
        <w:rPr>
          <w:rFonts w:hint="eastAsia"/>
        </w:rPr>
        <w:lastRenderedPageBreak/>
        <w:t>实例属性</w:t>
      </w:r>
    </w:p>
    <w:p w14:paraId="52A5525A" w14:textId="4D0559BD" w:rsidR="00414E09" w:rsidRPr="00CC03C7" w:rsidRDefault="00414E09" w:rsidP="00CC03C7">
      <w:proofErr w:type="spellStart"/>
      <w:r w:rsidRPr="00CC03C7">
        <w:t>ReadableStream.locked</w:t>
      </w:r>
      <w:proofErr w:type="spellEnd"/>
      <w:r w:rsidRPr="00CC03C7">
        <w:t>（只读）返回一个布尔值，指示可读流是否被锁定到一个读取器。</w:t>
      </w:r>
    </w:p>
    <w:p w14:paraId="0D2F0D2F" w14:textId="6E267410" w:rsidR="00DD667F" w:rsidRDefault="00DD667F" w:rsidP="00CC03C7">
      <w:pPr>
        <w:pStyle w:val="3"/>
      </w:pPr>
      <w:r>
        <w:rPr>
          <w:rFonts w:hint="eastAsia"/>
        </w:rPr>
        <w:t>实例方法</w:t>
      </w:r>
    </w:p>
    <w:p w14:paraId="49EE9B28" w14:textId="7D5B04BD" w:rsidR="00414E09" w:rsidRPr="00CC03C7" w:rsidRDefault="00414E09" w:rsidP="00CC03C7">
      <w:proofErr w:type="spellStart"/>
      <w:r w:rsidRPr="00CC03C7">
        <w:t>ReadableStream.cancel</w:t>
      </w:r>
      <w:proofErr w:type="spellEnd"/>
      <w:r w:rsidRPr="00CC03C7">
        <w:t>()</w:t>
      </w:r>
      <w:r w:rsidRPr="00CC03C7">
        <w:t>返回一个</w:t>
      </w:r>
      <w:r w:rsidRPr="00CC03C7">
        <w:t>Promise</w:t>
      </w:r>
      <w:r w:rsidRPr="00CC03C7">
        <w:t>，该</w:t>
      </w:r>
      <w:r w:rsidRPr="00CC03C7">
        <w:t>Promise</w:t>
      </w:r>
      <w:r w:rsidRPr="00CC03C7">
        <w:t>在流被取消时解析。调用此方法表示消费者对流的兴趣减少。提供的原因参数将传递给底层源，</w:t>
      </w:r>
      <w:proofErr w:type="gramStart"/>
      <w:r w:rsidRPr="00CC03C7">
        <w:t>该源可能</w:t>
      </w:r>
      <w:proofErr w:type="gramEnd"/>
      <w:r w:rsidRPr="00CC03C7">
        <w:t>会使用或不使用它。</w:t>
      </w:r>
    </w:p>
    <w:p w14:paraId="61C323EC" w14:textId="27D1B94D" w:rsidR="00414E09" w:rsidRPr="00CC03C7" w:rsidRDefault="00414E09" w:rsidP="00CC03C7">
      <w:proofErr w:type="spellStart"/>
      <w:r w:rsidRPr="00CC03C7">
        <w:t>ReadableStream.getReader</w:t>
      </w:r>
      <w:proofErr w:type="spellEnd"/>
      <w:r w:rsidRPr="00CC03C7">
        <w:t>()</w:t>
      </w:r>
      <w:r w:rsidRPr="00CC03C7">
        <w:t>创建一个读取器并将流锁定到它。在流被锁定时，其他读取器无法获取，直到此读取器被释放。</w:t>
      </w:r>
    </w:p>
    <w:p w14:paraId="1645FF23" w14:textId="33BE9584" w:rsidR="00414E09" w:rsidRPr="00CC03C7" w:rsidRDefault="00414E09" w:rsidP="00CC03C7">
      <w:proofErr w:type="spellStart"/>
      <w:r w:rsidRPr="00CC03C7">
        <w:t>ReadableStream.pipeThrough</w:t>
      </w:r>
      <w:proofErr w:type="spellEnd"/>
      <w:r w:rsidRPr="00CC03C7">
        <w:t>()</w:t>
      </w:r>
      <w:r w:rsidRPr="00CC03C7">
        <w:t>提供了一种通过变换流或任何其他可写</w:t>
      </w:r>
      <w:r w:rsidRPr="00CC03C7">
        <w:t>/</w:t>
      </w:r>
      <w:r w:rsidRPr="00CC03C7">
        <w:t>可读对将当前流传输的链式方法。</w:t>
      </w:r>
    </w:p>
    <w:p w14:paraId="1659927F" w14:textId="3B0EEDAB" w:rsidR="00414E09" w:rsidRPr="00CC03C7" w:rsidRDefault="00414E09" w:rsidP="00CC03C7">
      <w:proofErr w:type="spellStart"/>
      <w:r w:rsidRPr="00CC03C7">
        <w:t>ReadableStream.pipeTo</w:t>
      </w:r>
      <w:proofErr w:type="spellEnd"/>
      <w:r w:rsidRPr="00CC03C7">
        <w:t>()</w:t>
      </w:r>
      <w:r w:rsidRPr="00CC03C7">
        <w:t>将当前</w:t>
      </w:r>
      <w:proofErr w:type="spellStart"/>
      <w:r w:rsidRPr="00CC03C7">
        <w:t>ReadableStream</w:t>
      </w:r>
      <w:proofErr w:type="spellEnd"/>
      <w:r w:rsidRPr="00CC03C7">
        <w:t>管道到给定的</w:t>
      </w:r>
      <w:proofErr w:type="spellStart"/>
      <w:r w:rsidRPr="00CC03C7">
        <w:t>WritableStream</w:t>
      </w:r>
      <w:proofErr w:type="spellEnd"/>
      <w:r w:rsidRPr="00CC03C7">
        <w:t>，并返回一个</w:t>
      </w:r>
      <w:r w:rsidRPr="00CC03C7">
        <w:t>Promise</w:t>
      </w:r>
      <w:r w:rsidRPr="00CC03C7">
        <w:t>，该</w:t>
      </w:r>
      <w:r w:rsidRPr="00CC03C7">
        <w:t>Promise</w:t>
      </w:r>
      <w:r w:rsidRPr="00CC03C7">
        <w:t>在管道过程成功完成时解析，或在遇到任何错误时拒绝。</w:t>
      </w:r>
    </w:p>
    <w:p w14:paraId="714A4965" w14:textId="77C9BCA2" w:rsidR="00414E09" w:rsidRDefault="00414E09" w:rsidP="00CC03C7">
      <w:proofErr w:type="spellStart"/>
      <w:r w:rsidRPr="00CC03C7">
        <w:t>ReadableStream.tee</w:t>
      </w:r>
      <w:proofErr w:type="spellEnd"/>
      <w:r w:rsidRPr="00CC03C7">
        <w:t>()tee</w:t>
      </w:r>
      <w:r w:rsidRPr="00CC03C7">
        <w:t>方法将此可读流分成两个分支，返回一个包含两个结果分支的两个元素数组，这两个分支都是新的</w:t>
      </w:r>
      <w:proofErr w:type="spellStart"/>
      <w:r w:rsidRPr="00CC03C7">
        <w:t>ReadableStream</w:t>
      </w:r>
      <w:proofErr w:type="spellEnd"/>
      <w:r w:rsidRPr="00CC03C7">
        <w:t>实例。这</w:t>
      </w:r>
      <w:proofErr w:type="gramStart"/>
      <w:r w:rsidRPr="00CC03C7">
        <w:t>两个流都接收</w:t>
      </w:r>
      <w:proofErr w:type="gramEnd"/>
      <w:r w:rsidRPr="00CC03C7">
        <w:t>相同的传入数据。</w:t>
      </w:r>
    </w:p>
    <w:p w14:paraId="244BBD16" w14:textId="77777777" w:rsidR="0041014A" w:rsidRPr="00CC03C7" w:rsidRDefault="0041014A" w:rsidP="00CC03C7"/>
    <w:sectPr w:rsidR="0041014A" w:rsidRPr="00CC03C7" w:rsidSect="007C0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D3A3" w14:textId="77777777" w:rsidR="007C0BA4" w:rsidRDefault="007C0BA4" w:rsidP="00CC03C7">
      <w:r>
        <w:separator/>
      </w:r>
    </w:p>
  </w:endnote>
  <w:endnote w:type="continuationSeparator" w:id="0">
    <w:p w14:paraId="40066E27" w14:textId="77777777" w:rsidR="007C0BA4" w:rsidRDefault="007C0BA4" w:rsidP="00CC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 w:rsidP="00CC03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 w:rsidP="00CC03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 w:rsidP="00CC03C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04E9D" w14:textId="77777777" w:rsidR="007C0BA4" w:rsidRDefault="007C0BA4" w:rsidP="00CC03C7">
      <w:r>
        <w:separator/>
      </w:r>
    </w:p>
  </w:footnote>
  <w:footnote w:type="continuationSeparator" w:id="0">
    <w:p w14:paraId="1D75E7A5" w14:textId="77777777" w:rsidR="007C0BA4" w:rsidRDefault="007C0BA4" w:rsidP="00CC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 w:rsidP="00CC03C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 w:rsidP="00CC03C7">
        <w:pPr>
          <w:pStyle w:val="a3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 w:rsidP="00CC03C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 w:rsidP="00CC03C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14313"/>
    <w:rsid w:val="00040934"/>
    <w:rsid w:val="000B3FC6"/>
    <w:rsid w:val="000F6B24"/>
    <w:rsid w:val="0012229E"/>
    <w:rsid w:val="001336F4"/>
    <w:rsid w:val="00147FCF"/>
    <w:rsid w:val="001D4D5A"/>
    <w:rsid w:val="001D6923"/>
    <w:rsid w:val="0023170E"/>
    <w:rsid w:val="00231B9A"/>
    <w:rsid w:val="00280B6C"/>
    <w:rsid w:val="002B4451"/>
    <w:rsid w:val="002E2F4D"/>
    <w:rsid w:val="00353129"/>
    <w:rsid w:val="0039144A"/>
    <w:rsid w:val="003A2EC8"/>
    <w:rsid w:val="003F10B9"/>
    <w:rsid w:val="0041014A"/>
    <w:rsid w:val="00414E09"/>
    <w:rsid w:val="00446066"/>
    <w:rsid w:val="004573AD"/>
    <w:rsid w:val="00480D9F"/>
    <w:rsid w:val="004A1323"/>
    <w:rsid w:val="004A49A5"/>
    <w:rsid w:val="004B7923"/>
    <w:rsid w:val="004F721A"/>
    <w:rsid w:val="005F39A5"/>
    <w:rsid w:val="00622C4B"/>
    <w:rsid w:val="006314DD"/>
    <w:rsid w:val="00703B1D"/>
    <w:rsid w:val="007C0BA4"/>
    <w:rsid w:val="00891443"/>
    <w:rsid w:val="008C5A56"/>
    <w:rsid w:val="009130F7"/>
    <w:rsid w:val="00930F0E"/>
    <w:rsid w:val="009B7992"/>
    <w:rsid w:val="00A142A7"/>
    <w:rsid w:val="00A272D3"/>
    <w:rsid w:val="00A42E28"/>
    <w:rsid w:val="00A933AC"/>
    <w:rsid w:val="00AE0BF6"/>
    <w:rsid w:val="00B07760"/>
    <w:rsid w:val="00B14FF3"/>
    <w:rsid w:val="00B261B1"/>
    <w:rsid w:val="00B801C8"/>
    <w:rsid w:val="00BB0548"/>
    <w:rsid w:val="00C14724"/>
    <w:rsid w:val="00C34633"/>
    <w:rsid w:val="00C53C2F"/>
    <w:rsid w:val="00CC03C7"/>
    <w:rsid w:val="00CD2559"/>
    <w:rsid w:val="00CF3575"/>
    <w:rsid w:val="00D737D9"/>
    <w:rsid w:val="00DD667F"/>
    <w:rsid w:val="00DF5BF3"/>
    <w:rsid w:val="00E56424"/>
    <w:rsid w:val="00EA6FC4"/>
    <w:rsid w:val="00EC6A54"/>
    <w:rsid w:val="00EE20FC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3C7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character" w:customStyle="1" w:styleId="hljs-keyword">
    <w:name w:val="hljs-keyword"/>
    <w:basedOn w:val="a0"/>
    <w:rsid w:val="00414E09"/>
  </w:style>
  <w:style w:type="character" w:customStyle="1" w:styleId="hljs-literal">
    <w:name w:val="hljs-literal"/>
    <w:basedOn w:val="a0"/>
    <w:rsid w:val="00414E09"/>
  </w:style>
  <w:style w:type="table" w:styleId="af0">
    <w:name w:val="Table Grid"/>
    <w:basedOn w:val="a1"/>
    <w:uiPriority w:val="39"/>
    <w:rsid w:val="0041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23170E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2317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2024-06-04T05:21:00Z</dcterms:modified>
</cp:coreProperties>
</file>