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40FC34CF" w:rsidR="00A142A7" w:rsidRPr="00920C4B" w:rsidRDefault="00920C4B" w:rsidP="00920C4B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r>
        <w:fldChar w:fldCharType="begin"/>
      </w:r>
      <w:r>
        <w:instrText>HYPERLINK "https://developer.mozilla.org/en-US/docs/Web/API/WritableStream"</w:instrText>
      </w:r>
      <w:r>
        <w:fldChar w:fldCharType="separate"/>
      </w:r>
      <w:r w:rsidRPr="00920C4B">
        <w:rPr>
          <w:rStyle w:val="a7"/>
        </w:rPr>
        <w:t>Writabl</w:t>
      </w:r>
      <w:r w:rsidRPr="00920C4B">
        <w:rPr>
          <w:rStyle w:val="a7"/>
        </w:rPr>
        <w:t>e</w:t>
      </w:r>
      <w:r w:rsidRPr="00920C4B">
        <w:rPr>
          <w:rStyle w:val="a7"/>
        </w:rPr>
        <w:t>Stream</w:t>
      </w:r>
      <w:r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738BB05" w14:textId="6A1F4CBE" w:rsidR="00920C4B" w:rsidRPr="00920C4B" w:rsidRDefault="00920C4B" w:rsidP="00920C4B">
      <w:proofErr w:type="spellStart"/>
      <w:r w:rsidRPr="00920C4B">
        <w:t>WritableStream</w:t>
      </w:r>
      <w:proofErr w:type="spellEnd"/>
      <w:r w:rsidRPr="00920C4B">
        <w:t>是</w:t>
      </w:r>
      <w:r w:rsidRPr="00920C4B">
        <w:t>Streams API</w:t>
      </w:r>
      <w:r w:rsidRPr="00920C4B">
        <w:t>中的一个接口，用于提供将流式数据写入目标（称为</w:t>
      </w:r>
      <w:r w:rsidRPr="00920C4B">
        <w:t>“sink”</w:t>
      </w:r>
      <w:r w:rsidRPr="00920C4B">
        <w:t>）的标准抽象。这个对象内置了背压（</w:t>
      </w:r>
      <w:r w:rsidRPr="00920C4B">
        <w:t>backpressure</w:t>
      </w:r>
      <w:r w:rsidRPr="00920C4B">
        <w:t>）和队列。</w:t>
      </w:r>
    </w:p>
    <w:p w14:paraId="566B9AF0" w14:textId="77777777" w:rsidR="00920C4B" w:rsidRDefault="00920C4B" w:rsidP="00920C4B">
      <w:pPr>
        <w:pStyle w:val="2"/>
      </w:pPr>
      <w:r>
        <w:rPr>
          <w:rFonts w:hint="eastAsia"/>
        </w:rPr>
        <w:t>属性方法</w:t>
      </w:r>
    </w:p>
    <w:p w14:paraId="7923C738" w14:textId="77777777" w:rsidR="00920C4B" w:rsidRDefault="00920C4B" w:rsidP="00920C4B">
      <w:pPr>
        <w:pStyle w:val="3"/>
      </w:pPr>
      <w:r>
        <w:rPr>
          <w:rFonts w:hint="eastAsia"/>
        </w:rPr>
        <w:t>构造函数</w:t>
      </w:r>
    </w:p>
    <w:p w14:paraId="6C9EADF8" w14:textId="6FB7EC97" w:rsidR="00920C4B" w:rsidRDefault="00C828AB" w:rsidP="00920C4B">
      <w:proofErr w:type="spellStart"/>
      <w:r w:rsidRPr="00C828AB">
        <w:rPr>
          <w:rFonts w:hint="eastAsia"/>
        </w:rPr>
        <w:t>WritableStream</w:t>
      </w:r>
      <w:proofErr w:type="spellEnd"/>
      <w:r w:rsidRPr="00C828AB">
        <w:rPr>
          <w:rFonts w:hint="eastAsia"/>
        </w:rPr>
        <w:t xml:space="preserve">() </w:t>
      </w:r>
      <w:r w:rsidRPr="00C828AB">
        <w:rPr>
          <w:rFonts w:hint="eastAsia"/>
        </w:rPr>
        <w:t>构造函数创建一个新的</w:t>
      </w:r>
      <w:r w:rsidRPr="00C828AB">
        <w:rPr>
          <w:rFonts w:hint="eastAsia"/>
        </w:rPr>
        <w:t xml:space="preserve"> </w:t>
      </w:r>
      <w:proofErr w:type="spellStart"/>
      <w:r w:rsidRPr="00C828AB">
        <w:rPr>
          <w:rFonts w:hint="eastAsia"/>
        </w:rPr>
        <w:t>WritableStream</w:t>
      </w:r>
      <w:proofErr w:type="spellEnd"/>
      <w:r w:rsidRPr="00C828AB">
        <w:rPr>
          <w:rFonts w:hint="eastAsia"/>
        </w:rPr>
        <w:t xml:space="preserve"> </w:t>
      </w:r>
      <w:r w:rsidRPr="00C828AB">
        <w:rPr>
          <w:rFonts w:hint="eastAsia"/>
        </w:rPr>
        <w:t>对象实例。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727"/>
        <w:gridCol w:w="6795"/>
      </w:tblGrid>
      <w:tr w:rsidR="00920C4B" w14:paraId="461D28BA" w14:textId="77777777" w:rsidTr="00935411">
        <w:tc>
          <w:tcPr>
            <w:tcW w:w="101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E850266" w14:textId="77777777" w:rsidR="00920C4B" w:rsidRPr="0023170E" w:rsidRDefault="00920C4B" w:rsidP="00935411">
            <w:pPr>
              <w:pStyle w:val="af1"/>
            </w:pPr>
            <w:bookmarkStart w:id="0" w:name="_Hlk165984280"/>
            <w:r w:rsidRPr="0023170E">
              <w:t>参数名称</w:t>
            </w:r>
          </w:p>
        </w:tc>
        <w:tc>
          <w:tcPr>
            <w:tcW w:w="3987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FB9CDE8" w14:textId="77777777" w:rsidR="00920C4B" w:rsidRPr="0023170E" w:rsidRDefault="00920C4B" w:rsidP="00935411">
            <w:pPr>
              <w:pStyle w:val="af1"/>
            </w:pPr>
            <w:r w:rsidRPr="0023170E">
              <w:t>参数描述</w:t>
            </w:r>
          </w:p>
        </w:tc>
      </w:tr>
      <w:tr w:rsidR="00920C4B" w14:paraId="4045E749" w14:textId="77777777" w:rsidTr="00935411">
        <w:tc>
          <w:tcPr>
            <w:tcW w:w="101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B053B1" w14:textId="77777777" w:rsidR="00920C4B" w:rsidRPr="0023170E" w:rsidRDefault="00920C4B" w:rsidP="00935411">
            <w:pPr>
              <w:pStyle w:val="af1"/>
            </w:pPr>
            <w:proofErr w:type="spellStart"/>
            <w:r w:rsidRPr="0023170E">
              <w:t>underlyingSource</w:t>
            </w:r>
            <w:proofErr w:type="spellEnd"/>
            <w:r w:rsidRPr="0023170E">
              <w:t>可选</w:t>
            </w:r>
          </w:p>
        </w:tc>
        <w:tc>
          <w:tcPr>
            <w:tcW w:w="398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926"/>
              <w:gridCol w:w="4653"/>
            </w:tblGrid>
            <w:tr w:rsidR="00920C4B" w:rsidRPr="00696225" w14:paraId="09FFFC34" w14:textId="77777777" w:rsidTr="00935411">
              <w:tc>
                <w:tcPr>
                  <w:tcW w:w="1464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72878B42" w14:textId="77777777" w:rsidR="00920C4B" w:rsidRPr="00696225" w:rsidRDefault="00920C4B" w:rsidP="00696225">
                  <w:pPr>
                    <w:pStyle w:val="af1"/>
                  </w:pPr>
                  <w:r w:rsidRPr="00696225">
                    <w:t>参数名称</w:t>
                  </w:r>
                </w:p>
              </w:tc>
              <w:tc>
                <w:tcPr>
                  <w:tcW w:w="3536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54F65AA3" w14:textId="77777777" w:rsidR="00920C4B" w:rsidRPr="00696225" w:rsidRDefault="00920C4B" w:rsidP="00696225">
                  <w:pPr>
                    <w:pStyle w:val="af1"/>
                  </w:pPr>
                  <w:r w:rsidRPr="00696225">
                    <w:t>参数描述</w:t>
                  </w:r>
                </w:p>
              </w:tc>
            </w:tr>
            <w:tr w:rsidR="00920C4B" w:rsidRPr="00696225" w14:paraId="7BCF3163" w14:textId="77777777" w:rsidTr="00935411">
              <w:tc>
                <w:tcPr>
                  <w:tcW w:w="1464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3C7B1A54" w14:textId="77777777" w:rsidR="00920C4B" w:rsidRPr="00696225" w:rsidRDefault="00920C4B" w:rsidP="00696225">
                  <w:pPr>
                    <w:pStyle w:val="af1"/>
                  </w:pPr>
                  <w:r w:rsidRPr="00696225">
                    <w:t>start(controller)</w:t>
                  </w:r>
                </w:p>
              </w:tc>
              <w:tc>
                <w:tcPr>
                  <w:tcW w:w="3536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59ADCE46" w14:textId="77777777" w:rsidR="00920C4B" w:rsidRPr="00696225" w:rsidRDefault="00920C4B" w:rsidP="00696225">
                  <w:pPr>
                    <w:pStyle w:val="af1"/>
                  </w:pPr>
                  <w:r w:rsidRPr="00696225">
                    <w:t>构建时调用，定义流源访问和设置。异步时返回承诺。</w:t>
                  </w:r>
                </w:p>
              </w:tc>
            </w:tr>
            <w:tr w:rsidR="00920C4B" w:rsidRPr="00696225" w14:paraId="5DDE20F8" w14:textId="77777777" w:rsidTr="00935411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6A69AA0" w14:textId="7A36971C" w:rsidR="00920C4B" w:rsidRPr="00696225" w:rsidRDefault="00696225" w:rsidP="00696225">
                  <w:pPr>
                    <w:pStyle w:val="af1"/>
                  </w:pPr>
                  <w:r w:rsidRPr="00696225">
                    <w:t>write(chunk, controller)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086C91C" w14:textId="107A1E72" w:rsidR="00920C4B" w:rsidRPr="00696225" w:rsidRDefault="00696225" w:rsidP="00696225">
                  <w:pPr>
                    <w:pStyle w:val="af1"/>
                  </w:pPr>
                  <w:r w:rsidRPr="00696225">
                    <w:t>新数据写入时触发，只有在上一次写操作成功并且流没关闭的情况下才能调用</w:t>
                  </w:r>
                </w:p>
              </w:tc>
            </w:tr>
            <w:tr w:rsidR="00920C4B" w:rsidRPr="00696225" w14:paraId="10C5A3DA" w14:textId="77777777" w:rsidTr="00935411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DA3B637" w14:textId="77777777" w:rsidR="00920C4B" w:rsidRPr="00696225" w:rsidRDefault="00920C4B" w:rsidP="00696225">
                  <w:pPr>
                    <w:pStyle w:val="af1"/>
                  </w:pPr>
                  <w:r w:rsidRPr="00696225">
                    <w:t>cancel(reason)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C9239F0" w14:textId="77777777" w:rsidR="00920C4B" w:rsidRPr="00696225" w:rsidRDefault="00920C4B" w:rsidP="00696225">
                  <w:pPr>
                    <w:pStyle w:val="af1"/>
                  </w:pPr>
                  <w:r w:rsidRPr="00696225">
                    <w:t>流取消时调用，释放流源。异步时返回承诺。</w:t>
                  </w:r>
                </w:p>
              </w:tc>
            </w:tr>
            <w:tr w:rsidR="00920C4B" w:rsidRPr="00696225" w14:paraId="556E6C54" w14:textId="77777777" w:rsidTr="00935411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92B98D2" w14:textId="1A59E29F" w:rsidR="00920C4B" w:rsidRPr="00696225" w:rsidRDefault="00696225" w:rsidP="00696225">
                  <w:pPr>
                    <w:pStyle w:val="af1"/>
                  </w:pPr>
                  <w:r w:rsidRPr="00696225">
                    <w:t>abort(reason)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89273B9" w14:textId="380AA1CB" w:rsidR="00920C4B" w:rsidRPr="00696225" w:rsidRDefault="00696225" w:rsidP="00696225">
                  <w:pPr>
                    <w:pStyle w:val="af1"/>
                  </w:pPr>
                  <w:r>
                    <w:rPr>
                      <w:rFonts w:hint="eastAsia"/>
                    </w:rPr>
                    <w:t>应用突然关闭流或发生错误时触发，</w:t>
                  </w:r>
                </w:p>
              </w:tc>
            </w:tr>
          </w:tbl>
          <w:p w14:paraId="7E73EC87" w14:textId="77777777" w:rsidR="00920C4B" w:rsidRPr="00696225" w:rsidRDefault="00920C4B" w:rsidP="00696225">
            <w:pPr>
              <w:pStyle w:val="af1"/>
            </w:pPr>
          </w:p>
        </w:tc>
      </w:tr>
      <w:tr w:rsidR="00920C4B" w14:paraId="334CA226" w14:textId="77777777" w:rsidTr="00935411"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C6B941" w14:textId="77777777" w:rsidR="00920C4B" w:rsidRPr="0023170E" w:rsidRDefault="00920C4B" w:rsidP="00935411">
            <w:pPr>
              <w:pStyle w:val="af1"/>
            </w:pPr>
            <w:proofErr w:type="spellStart"/>
            <w:r w:rsidRPr="0023170E">
              <w:t>queuingStrategy</w:t>
            </w:r>
            <w:proofErr w:type="spellEnd"/>
            <w:r w:rsidRPr="0023170E">
              <w:t>可选</w:t>
            </w:r>
          </w:p>
        </w:tc>
        <w:tc>
          <w:tcPr>
            <w:tcW w:w="398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355"/>
              <w:gridCol w:w="5224"/>
            </w:tblGrid>
            <w:tr w:rsidR="00920C4B" w14:paraId="3212F0F1" w14:textId="77777777" w:rsidTr="00935411">
              <w:tc>
                <w:tcPr>
                  <w:tcW w:w="103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66BDD55E" w14:textId="77777777" w:rsidR="00920C4B" w:rsidRDefault="00920C4B" w:rsidP="00935411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97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BAF606D" w14:textId="77777777" w:rsidR="00920C4B" w:rsidRDefault="00920C4B" w:rsidP="00935411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920C4B" w14:paraId="6F988642" w14:textId="77777777" w:rsidTr="00935411">
              <w:tc>
                <w:tcPr>
                  <w:tcW w:w="103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1BB221FF" w14:textId="77777777" w:rsidR="00920C4B" w:rsidRPr="00280B6C" w:rsidRDefault="00920C4B" w:rsidP="00935411">
                  <w:pPr>
                    <w:pStyle w:val="af1"/>
                  </w:pPr>
                  <w:proofErr w:type="spellStart"/>
                  <w:r w:rsidRPr="00280B6C">
                    <w:t>highWaterMark</w:t>
                  </w:r>
                  <w:proofErr w:type="spellEnd"/>
                </w:p>
              </w:tc>
              <w:tc>
                <w:tcPr>
                  <w:tcW w:w="397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1BCF0250" w14:textId="77777777" w:rsidR="00920C4B" w:rsidRPr="00280B6C" w:rsidRDefault="00920C4B" w:rsidP="00935411">
                  <w:pPr>
                    <w:pStyle w:val="af1"/>
                  </w:pPr>
                  <w:r w:rsidRPr="00280B6C">
                    <w:t>一个非负整数</w:t>
                  </w:r>
                  <w:r w:rsidRPr="00280B6C">
                    <w:t xml:space="preserve"> — </w:t>
                  </w:r>
                  <w:r w:rsidRPr="00280B6C">
                    <w:t>这定义了在应用背压之前内部队列中可以包含的块的总数。</w:t>
                  </w:r>
                  <w:r>
                    <w:rPr>
                      <w:rFonts w:hint="eastAsia"/>
                    </w:rPr>
                    <w:t>就是流在不消费的情况下最多能压多少个数据包</w:t>
                  </w:r>
                </w:p>
              </w:tc>
            </w:tr>
            <w:tr w:rsidR="00920C4B" w14:paraId="236D0B52" w14:textId="77777777" w:rsidTr="00935411">
              <w:tc>
                <w:tcPr>
                  <w:tcW w:w="103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496391F4" w14:textId="77777777" w:rsidR="00920C4B" w:rsidRPr="00280B6C" w:rsidRDefault="00920C4B" w:rsidP="00935411">
                  <w:pPr>
                    <w:pStyle w:val="af1"/>
                  </w:pPr>
                  <w:r w:rsidRPr="00280B6C">
                    <w:t>size(chunk)</w:t>
                  </w:r>
                </w:p>
              </w:tc>
              <w:tc>
                <w:tcPr>
                  <w:tcW w:w="397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0BE320C6" w14:textId="77777777" w:rsidR="00920C4B" w:rsidRPr="00280B6C" w:rsidRDefault="00920C4B" w:rsidP="00935411">
                  <w:pPr>
                    <w:pStyle w:val="af1"/>
                  </w:pPr>
                  <w:r w:rsidRPr="00280B6C">
                    <w:t>一个包含参数</w:t>
                  </w:r>
                  <w:r w:rsidRPr="00280B6C">
                    <w:t>chunk</w:t>
                  </w:r>
                  <w:r w:rsidRPr="00280B6C">
                    <w:t>的方法</w:t>
                  </w:r>
                  <w:r w:rsidRPr="00280B6C">
                    <w:t xml:space="preserve"> — </w:t>
                  </w:r>
                  <w:r w:rsidRPr="00280B6C">
                    <w:t>这表示每个块的大小，以字节为单位。</w:t>
                  </w:r>
                </w:p>
              </w:tc>
            </w:tr>
          </w:tbl>
          <w:p w14:paraId="295815E4" w14:textId="77777777" w:rsidR="00920C4B" w:rsidRPr="0023170E" w:rsidRDefault="00920C4B" w:rsidP="00935411">
            <w:pPr>
              <w:pStyle w:val="af1"/>
            </w:pPr>
          </w:p>
        </w:tc>
      </w:tr>
    </w:tbl>
    <w:bookmarkEnd w:id="0"/>
    <w:p w14:paraId="2D085669" w14:textId="77777777" w:rsidR="00920C4B" w:rsidRDefault="00920C4B" w:rsidP="00920C4B">
      <w:pPr>
        <w:pStyle w:val="3"/>
      </w:pPr>
      <w:r>
        <w:rPr>
          <w:rFonts w:hint="eastAsia"/>
        </w:rPr>
        <w:t>实例属性</w:t>
      </w:r>
    </w:p>
    <w:p w14:paraId="01E8226D" w14:textId="0185EE53" w:rsidR="00696225" w:rsidRPr="00696225" w:rsidRDefault="00696225" w:rsidP="00696225">
      <w:proofErr w:type="spellStart"/>
      <w:r w:rsidRPr="00696225">
        <w:t>WritableStream.locked</w:t>
      </w:r>
      <w:proofErr w:type="spellEnd"/>
      <w:r w:rsidRPr="00696225">
        <w:t>（只读）：一个布尔值，指示</w:t>
      </w:r>
      <w:proofErr w:type="spellStart"/>
      <w:r w:rsidRPr="00696225">
        <w:t>WritableStream</w:t>
      </w:r>
      <w:proofErr w:type="spellEnd"/>
      <w:r w:rsidRPr="00696225">
        <w:t>是否已被锁定为一个写入器。</w:t>
      </w:r>
    </w:p>
    <w:p w14:paraId="5F6E9FB5" w14:textId="77777777" w:rsidR="00920C4B" w:rsidRDefault="00920C4B" w:rsidP="00920C4B">
      <w:pPr>
        <w:pStyle w:val="3"/>
      </w:pPr>
      <w:r>
        <w:rPr>
          <w:rFonts w:hint="eastAsia"/>
        </w:rPr>
        <w:t>实例方法</w:t>
      </w:r>
    </w:p>
    <w:p w14:paraId="502A35A6" w14:textId="77777777" w:rsidR="00696225" w:rsidRPr="00696225" w:rsidRDefault="00696225" w:rsidP="00696225">
      <w:proofErr w:type="spellStart"/>
      <w:r w:rsidRPr="00696225">
        <w:t>WritableStream.abort</w:t>
      </w:r>
      <w:proofErr w:type="spellEnd"/>
      <w:r w:rsidRPr="00696225">
        <w:t>()</w:t>
      </w:r>
      <w:r w:rsidRPr="00696225">
        <w:t>：中止流，表示生产者不能再成功地向流中写入数据，流将立即转移到错误状态，并丢弃任何已排队的写入。</w:t>
      </w:r>
    </w:p>
    <w:p w14:paraId="7E590B8D" w14:textId="77777777" w:rsidR="00696225" w:rsidRPr="00696225" w:rsidRDefault="00696225" w:rsidP="00696225">
      <w:proofErr w:type="spellStart"/>
      <w:r w:rsidRPr="00696225">
        <w:lastRenderedPageBreak/>
        <w:t>WritableStream.close</w:t>
      </w:r>
      <w:proofErr w:type="spellEnd"/>
      <w:r w:rsidRPr="00696225">
        <w:t>()</w:t>
      </w:r>
      <w:r w:rsidRPr="00696225">
        <w:t>：关闭流。</w:t>
      </w:r>
    </w:p>
    <w:p w14:paraId="0D2F0D2F" w14:textId="2718E02F" w:rsidR="00DD667F" w:rsidRPr="00696225" w:rsidRDefault="00696225" w:rsidP="00696225">
      <w:proofErr w:type="spellStart"/>
      <w:r w:rsidRPr="00696225">
        <w:t>WritableStream.getWriter</w:t>
      </w:r>
      <w:proofErr w:type="spellEnd"/>
      <w:r w:rsidRPr="00696225">
        <w:t>()</w:t>
      </w:r>
      <w:r w:rsidRPr="00696225">
        <w:t>：返回一个新的</w:t>
      </w:r>
      <w:proofErr w:type="spellStart"/>
      <w:r w:rsidRPr="00696225">
        <w:t>WritableStreamDefaultWriter</w:t>
      </w:r>
      <w:proofErr w:type="spellEnd"/>
      <w:r w:rsidRPr="00696225">
        <w:t>实例，并将流锁定到该实例。在流被锁定期间，其他写入器无法获取，直到该写入器被释放。</w:t>
      </w:r>
    </w:p>
    <w:sectPr w:rsidR="00DD667F" w:rsidRPr="00696225" w:rsidSect="00485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8EF48" w14:textId="77777777" w:rsidR="0048554D" w:rsidRDefault="0048554D" w:rsidP="004573AD">
      <w:pPr>
        <w:spacing w:line="240" w:lineRule="auto"/>
      </w:pPr>
      <w:r>
        <w:separator/>
      </w:r>
    </w:p>
  </w:endnote>
  <w:endnote w:type="continuationSeparator" w:id="0">
    <w:p w14:paraId="318FE891" w14:textId="77777777" w:rsidR="0048554D" w:rsidRDefault="0048554D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0AD28" w14:textId="77777777" w:rsidR="0048554D" w:rsidRDefault="0048554D" w:rsidP="004573AD">
      <w:pPr>
        <w:spacing w:line="240" w:lineRule="auto"/>
      </w:pPr>
      <w:r>
        <w:separator/>
      </w:r>
    </w:p>
  </w:footnote>
  <w:footnote w:type="continuationSeparator" w:id="0">
    <w:p w14:paraId="2CF32C84" w14:textId="77777777" w:rsidR="0048554D" w:rsidRDefault="0048554D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E68"/>
    <w:multiLevelType w:val="multilevel"/>
    <w:tmpl w:val="72A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2495CA0"/>
    <w:multiLevelType w:val="multilevel"/>
    <w:tmpl w:val="67C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1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8"/>
  </w:num>
  <w:num w:numId="5" w16cid:durableId="869145537">
    <w:abstractNumId w:val="6"/>
  </w:num>
  <w:num w:numId="6" w16cid:durableId="1131628320">
    <w:abstractNumId w:val="7"/>
  </w:num>
  <w:num w:numId="7" w16cid:durableId="1772814433">
    <w:abstractNumId w:val="4"/>
  </w:num>
  <w:num w:numId="8" w16cid:durableId="474225155">
    <w:abstractNumId w:val="10"/>
  </w:num>
  <w:num w:numId="9" w16cid:durableId="18314955">
    <w:abstractNumId w:val="1"/>
  </w:num>
  <w:num w:numId="10" w16cid:durableId="912548901">
    <w:abstractNumId w:val="1"/>
  </w:num>
  <w:num w:numId="11" w16cid:durableId="1627812537">
    <w:abstractNumId w:val="9"/>
  </w:num>
  <w:num w:numId="12" w16cid:durableId="125926750">
    <w:abstractNumId w:val="2"/>
  </w:num>
  <w:num w:numId="13" w16cid:durableId="359823186">
    <w:abstractNumId w:val="5"/>
  </w:num>
  <w:num w:numId="14" w16cid:durableId="69246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0F73CF"/>
    <w:rsid w:val="0012229E"/>
    <w:rsid w:val="00147FCF"/>
    <w:rsid w:val="001D4D5A"/>
    <w:rsid w:val="001D6923"/>
    <w:rsid w:val="00231B9A"/>
    <w:rsid w:val="002B4451"/>
    <w:rsid w:val="002E2F4D"/>
    <w:rsid w:val="00315873"/>
    <w:rsid w:val="0039144A"/>
    <w:rsid w:val="003F10B9"/>
    <w:rsid w:val="004573AD"/>
    <w:rsid w:val="00480D9F"/>
    <w:rsid w:val="0048554D"/>
    <w:rsid w:val="004A1323"/>
    <w:rsid w:val="004A49A5"/>
    <w:rsid w:val="004F721A"/>
    <w:rsid w:val="00622C4B"/>
    <w:rsid w:val="006314DD"/>
    <w:rsid w:val="00696225"/>
    <w:rsid w:val="00703B1D"/>
    <w:rsid w:val="00891443"/>
    <w:rsid w:val="009130F7"/>
    <w:rsid w:val="00920C4B"/>
    <w:rsid w:val="009B7992"/>
    <w:rsid w:val="00A142A7"/>
    <w:rsid w:val="00A272D3"/>
    <w:rsid w:val="00A42E28"/>
    <w:rsid w:val="00A933AC"/>
    <w:rsid w:val="00B14FF3"/>
    <w:rsid w:val="00B261B1"/>
    <w:rsid w:val="00B7462C"/>
    <w:rsid w:val="00BB0548"/>
    <w:rsid w:val="00C14724"/>
    <w:rsid w:val="00C53C2F"/>
    <w:rsid w:val="00C828AB"/>
    <w:rsid w:val="00CF3575"/>
    <w:rsid w:val="00DD667F"/>
    <w:rsid w:val="00DF5BF3"/>
    <w:rsid w:val="00E56424"/>
    <w:rsid w:val="00EA6FC4"/>
    <w:rsid w:val="00EC6A54"/>
    <w:rsid w:val="00EE20FC"/>
    <w:rsid w:val="00EE246D"/>
    <w:rsid w:val="00F06D89"/>
    <w:rsid w:val="00F32510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920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920C4B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920C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2024-06-04T05:38:00Z</dcterms:modified>
</cp:coreProperties>
</file>