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27C79D3D" w:rsidR="00A142A7" w:rsidRPr="00295279" w:rsidRDefault="00295279" w:rsidP="00295279">
      <w:pPr>
        <w:pStyle w:val="1"/>
        <w:shd w:val="clear" w:color="auto" w:fill="FFFFFF"/>
        <w:rPr>
          <w:rFonts w:ascii="Segoe UI" w:eastAsia="宋体" w:hAnsi="Segoe UI" w:cs="Segoe UI"/>
          <w:color w:val="1B1B1B"/>
          <w:sz w:val="48"/>
          <w:szCs w:val="48"/>
        </w:rPr>
      </w:pPr>
      <w:proofErr w:type="spellStart"/>
      <w:r w:rsidRPr="00295279">
        <w:t>TransformStream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568FD45D" w14:textId="646984B5" w:rsidR="00295279" w:rsidRPr="00295279" w:rsidRDefault="00295279" w:rsidP="00295279">
      <w:proofErr w:type="spellStart"/>
      <w:r w:rsidRPr="00295279">
        <w:t>TransformStream</w:t>
      </w:r>
      <w:proofErr w:type="spellEnd"/>
      <w:r w:rsidRPr="00295279">
        <w:t>是</w:t>
      </w:r>
      <w:proofErr w:type="spellStart"/>
      <w:r w:rsidRPr="00295279">
        <w:t>StreamsAPI</w:t>
      </w:r>
      <w:proofErr w:type="spellEnd"/>
      <w:r w:rsidRPr="00295279">
        <w:t>中的一个接口，它表示管道链转换流的具体实现。可以将它传递给</w:t>
      </w:r>
      <w:proofErr w:type="spellStart"/>
      <w:r w:rsidRPr="00295279">
        <w:t>ReadableStream.pipeThrough</w:t>
      </w:r>
      <w:proofErr w:type="spellEnd"/>
      <w:r w:rsidRPr="00295279">
        <w:t>()</w:t>
      </w:r>
      <w:r w:rsidRPr="00295279">
        <w:t>方法，以便将数据流从一种格式转换为另一种格式。例如，它可以用于解码（或编码）视频帧、解压数据或将流从</w:t>
      </w:r>
      <w:r w:rsidRPr="00295279">
        <w:t>XML</w:t>
      </w:r>
      <w:r w:rsidRPr="00295279">
        <w:t>转换为</w:t>
      </w:r>
      <w:r w:rsidRPr="00295279">
        <w:t>JSON</w:t>
      </w:r>
      <w:r w:rsidRPr="00295279">
        <w:t>。</w:t>
      </w:r>
    </w:p>
    <w:p w14:paraId="66D2D0B2" w14:textId="77777777" w:rsidR="00295279" w:rsidRPr="00295279" w:rsidRDefault="00295279" w:rsidP="00295279">
      <w:r w:rsidRPr="00295279">
        <w:t>在对象构造函数中，可以提供一个可选的转换算法参数。如果未提供，数据在通过流时不会被修改。</w:t>
      </w:r>
    </w:p>
    <w:p w14:paraId="4F5A1EE8" w14:textId="3F1501F9" w:rsidR="00295279" w:rsidRPr="00295279" w:rsidRDefault="00295279" w:rsidP="00295279">
      <w:pPr>
        <w:rPr>
          <w:rFonts w:hint="eastAsia"/>
        </w:rPr>
      </w:pPr>
      <w:proofErr w:type="spellStart"/>
      <w:r w:rsidRPr="00295279">
        <w:t>TransformStream</w:t>
      </w:r>
      <w:proofErr w:type="spellEnd"/>
      <w:r w:rsidRPr="00295279">
        <w:t>是一个可传输的对象。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4B56499E" w14:textId="37E4D37B" w:rsidR="00295279" w:rsidRDefault="00295279" w:rsidP="00295279">
      <w:r w:rsidRPr="00295279">
        <w:t>构造函数</w:t>
      </w:r>
      <w:proofErr w:type="spellStart"/>
      <w:r w:rsidRPr="00295279">
        <w:t>TransformStream</w:t>
      </w:r>
      <w:proofErr w:type="spellEnd"/>
      <w:r w:rsidRPr="00295279">
        <w:t>()</w:t>
      </w:r>
      <w:r w:rsidRPr="00295279">
        <w:t>创建并返回一个转换流对象，可以选择性地指定转换对象和流的排队策略。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727"/>
        <w:gridCol w:w="6795"/>
      </w:tblGrid>
      <w:tr w:rsidR="00D12C65" w:rsidRPr="0023170E" w14:paraId="61CDF950" w14:textId="77777777" w:rsidTr="000D44CC">
        <w:tc>
          <w:tcPr>
            <w:tcW w:w="1013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423A1D16" w14:textId="77777777" w:rsidR="00D12C65" w:rsidRPr="0023170E" w:rsidRDefault="00D12C65" w:rsidP="000D44CC">
            <w:pPr>
              <w:pStyle w:val="af1"/>
            </w:pPr>
            <w:r w:rsidRPr="0023170E">
              <w:t>参数名称</w:t>
            </w:r>
          </w:p>
        </w:tc>
        <w:tc>
          <w:tcPr>
            <w:tcW w:w="3987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4A7ABDBE" w14:textId="77777777" w:rsidR="00D12C65" w:rsidRPr="0023170E" w:rsidRDefault="00D12C65" w:rsidP="000D44CC">
            <w:pPr>
              <w:pStyle w:val="af1"/>
            </w:pPr>
            <w:r w:rsidRPr="0023170E">
              <w:t>参数描述</w:t>
            </w:r>
          </w:p>
        </w:tc>
      </w:tr>
      <w:tr w:rsidR="00D12C65" w:rsidRPr="0023170E" w14:paraId="5FDE1769" w14:textId="77777777" w:rsidTr="000D44CC">
        <w:tc>
          <w:tcPr>
            <w:tcW w:w="1013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E2635B" w14:textId="56C0DCF4" w:rsidR="00D12C65" w:rsidRPr="00D7203D" w:rsidRDefault="00D7203D" w:rsidP="00D7203D">
            <w:pPr>
              <w:pStyle w:val="af1"/>
            </w:pPr>
            <w:r w:rsidRPr="00D7203D">
              <w:t>transformer</w:t>
            </w:r>
            <w:r w:rsidR="00D12C65" w:rsidRPr="00D7203D">
              <w:t>可选</w:t>
            </w:r>
          </w:p>
        </w:tc>
        <w:tc>
          <w:tcPr>
            <w:tcW w:w="398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926"/>
              <w:gridCol w:w="4653"/>
            </w:tblGrid>
            <w:tr w:rsidR="00D12C65" w14:paraId="1A983E95" w14:textId="77777777" w:rsidTr="000D44CC">
              <w:tc>
                <w:tcPr>
                  <w:tcW w:w="1464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490A661C" w14:textId="77777777" w:rsidR="00D12C65" w:rsidRDefault="00D12C65" w:rsidP="000D44CC">
                  <w:pPr>
                    <w:pStyle w:val="af1"/>
                  </w:pPr>
                  <w:r w:rsidRPr="0023170E">
                    <w:t>参数名称</w:t>
                  </w:r>
                </w:p>
              </w:tc>
              <w:tc>
                <w:tcPr>
                  <w:tcW w:w="3536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2EFC2806" w14:textId="77777777" w:rsidR="00D12C65" w:rsidRDefault="00D12C65" w:rsidP="000D44CC">
                  <w:pPr>
                    <w:pStyle w:val="af1"/>
                  </w:pPr>
                  <w:r w:rsidRPr="0023170E">
                    <w:t>参数描述</w:t>
                  </w:r>
                </w:p>
              </w:tc>
            </w:tr>
            <w:tr w:rsidR="00D12C65" w14:paraId="4BFA1226" w14:textId="77777777" w:rsidTr="000D44CC">
              <w:tc>
                <w:tcPr>
                  <w:tcW w:w="1464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5DA589C8" w14:textId="77777777" w:rsidR="00D12C65" w:rsidRPr="00236DAB" w:rsidRDefault="00D12C65" w:rsidP="00236DAB">
                  <w:pPr>
                    <w:pStyle w:val="af1"/>
                  </w:pPr>
                  <w:r w:rsidRPr="00236DAB">
                    <w:t>start(controller)</w:t>
                  </w:r>
                </w:p>
              </w:tc>
              <w:tc>
                <w:tcPr>
                  <w:tcW w:w="3536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32A3AB94" w14:textId="46761C4C" w:rsidR="00D12C65" w:rsidRPr="00236DAB" w:rsidRDefault="00236DAB" w:rsidP="00236DAB">
                  <w:pPr>
                    <w:pStyle w:val="af1"/>
                  </w:pPr>
                  <w:r w:rsidRPr="00236DAB">
                    <w:t>在构造</w:t>
                  </w:r>
                  <w:r w:rsidRPr="00236DAB">
                    <w:t> </w:t>
                  </w:r>
                  <w:proofErr w:type="spellStart"/>
                  <w:r w:rsidRPr="00236DAB">
                    <w:t>TransformStream</w:t>
                  </w:r>
                  <w:proofErr w:type="spellEnd"/>
                  <w:r w:rsidRPr="00236DAB">
                    <w:t> </w:t>
                  </w:r>
                  <w:r w:rsidRPr="00236DAB">
                    <w:t>时调用。通常用于使用</w:t>
                  </w:r>
                  <w:r w:rsidRPr="00236DAB">
                    <w:t> </w:t>
                  </w:r>
                  <w:proofErr w:type="spellStart"/>
                  <w:r w:rsidRPr="00236DAB">
                    <w:t>TransformStreamDefaultController.enqueue</w:t>
                  </w:r>
                  <w:proofErr w:type="spellEnd"/>
                  <w:r w:rsidRPr="00236DAB">
                    <w:t>() </w:t>
                  </w:r>
                  <w:r w:rsidRPr="00236DAB">
                    <w:t>排队块。</w:t>
                  </w:r>
                </w:p>
              </w:tc>
            </w:tr>
            <w:tr w:rsidR="00D12C65" w14:paraId="51988D46" w14:textId="77777777" w:rsidTr="000D44CC">
              <w:tc>
                <w:tcPr>
                  <w:tcW w:w="1464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3971D49" w14:textId="584E8153" w:rsidR="00D12C65" w:rsidRPr="00236DAB" w:rsidRDefault="00236DAB" w:rsidP="00236DAB">
                  <w:pPr>
                    <w:pStyle w:val="af1"/>
                  </w:pPr>
                  <w:proofErr w:type="gramStart"/>
                  <w:r w:rsidRPr="00236DAB">
                    <w:t>transform(</w:t>
                  </w:r>
                  <w:proofErr w:type="gramEnd"/>
                  <w:r w:rsidRPr="00236DAB">
                    <w:t xml:space="preserve">chunk, controller): 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74B5F6C" w14:textId="41D02523" w:rsidR="00D12C65" w:rsidRPr="00236DAB" w:rsidRDefault="00236DAB" w:rsidP="00236DAB">
                  <w:pPr>
                    <w:pStyle w:val="af1"/>
                  </w:pPr>
                  <w:r w:rsidRPr="00236DAB">
                    <w:t>在写入到可写端的块准备好进行转换时调用，执行转换流的工作。它可以返回一个</w:t>
                  </w:r>
                  <w:r w:rsidRPr="00236DAB">
                    <w:t xml:space="preserve"> promise</w:t>
                  </w:r>
                  <w:r w:rsidRPr="00236DAB">
                    <w:t>，以表示写操作的成功或失败。如果未提供</w:t>
                  </w:r>
                  <w:r w:rsidRPr="00236DAB">
                    <w:t> transform() </w:t>
                  </w:r>
                  <w:r w:rsidRPr="00236DAB">
                    <w:t>方法，将使用标识转换，并且块将不进行更改而排队。</w:t>
                  </w:r>
                </w:p>
              </w:tc>
            </w:tr>
            <w:tr w:rsidR="00D12C65" w14:paraId="2804D338" w14:textId="77777777" w:rsidTr="00236DAB">
              <w:tc>
                <w:tcPr>
                  <w:tcW w:w="1464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64708481" w14:textId="785508CE" w:rsidR="00D12C65" w:rsidRPr="00236DAB" w:rsidRDefault="00236DAB" w:rsidP="00236DAB">
                  <w:pPr>
                    <w:pStyle w:val="af1"/>
                  </w:pPr>
                  <w:r w:rsidRPr="00236DAB">
                    <w:t>flush(controller)</w:t>
                  </w:r>
                </w:p>
              </w:tc>
              <w:tc>
                <w:tcPr>
                  <w:tcW w:w="3536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vAlign w:val="bottom"/>
                </w:tcPr>
                <w:p w14:paraId="4B982D0B" w14:textId="3C040BAA" w:rsidR="00D12C65" w:rsidRPr="00236DAB" w:rsidRDefault="00236DAB" w:rsidP="00236DAB">
                  <w:pPr>
                    <w:pStyle w:val="af1"/>
                  </w:pPr>
                  <w:r w:rsidRPr="00236DAB">
                    <w:t>在所有写入到可写端的</w:t>
                  </w:r>
                  <w:proofErr w:type="gramStart"/>
                  <w:r w:rsidRPr="00236DAB">
                    <w:t>块成功</w:t>
                  </w:r>
                  <w:proofErr w:type="gramEnd"/>
                  <w:r w:rsidRPr="00236DAB">
                    <w:t>转换后，可写</w:t>
                  </w:r>
                  <w:proofErr w:type="gramStart"/>
                  <w:r w:rsidRPr="00236DAB">
                    <w:t>端即将</w:t>
                  </w:r>
                  <w:proofErr w:type="gramEnd"/>
                  <w:r w:rsidRPr="00236DAB">
                    <w:t>关闭时调用。</w:t>
                  </w:r>
                </w:p>
              </w:tc>
            </w:tr>
          </w:tbl>
          <w:p w14:paraId="57F4A801" w14:textId="20856250" w:rsidR="00D12C65" w:rsidRPr="0023170E" w:rsidRDefault="00D12C65" w:rsidP="000D44CC">
            <w:pPr>
              <w:pStyle w:val="af1"/>
              <w:rPr>
                <w:rFonts w:hint="eastAsia"/>
              </w:rPr>
            </w:pPr>
          </w:p>
        </w:tc>
      </w:tr>
      <w:tr w:rsidR="00D12C65" w:rsidRPr="0023170E" w14:paraId="08EA9303" w14:textId="77777777" w:rsidTr="00D7203D"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</w:tcPr>
          <w:p w14:paraId="66350A4F" w14:textId="21508729" w:rsidR="00D12C65" w:rsidRPr="00236DAB" w:rsidRDefault="00236DAB" w:rsidP="00236DAB">
            <w:pPr>
              <w:pStyle w:val="af1"/>
            </w:pPr>
            <w:hyperlink r:id="rId7" w:anchor="writablestrategy" w:history="1">
              <w:r w:rsidRPr="00236DAB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writableStrategy</w:t>
              </w:r>
            </w:hyperlink>
            <w:r w:rsidR="00D12C65" w:rsidRPr="00236DAB">
              <w:t>可选</w:t>
            </w:r>
          </w:p>
        </w:tc>
        <w:tc>
          <w:tcPr>
            <w:tcW w:w="3987" w:type="pct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355"/>
              <w:gridCol w:w="5224"/>
            </w:tblGrid>
            <w:tr w:rsidR="00D12C65" w14:paraId="7BF0B50E" w14:textId="77777777" w:rsidTr="000D44CC">
              <w:tc>
                <w:tcPr>
                  <w:tcW w:w="103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1BD95982" w14:textId="77777777" w:rsidR="00D12C65" w:rsidRDefault="00D12C65" w:rsidP="000D44CC">
                  <w:pPr>
                    <w:pStyle w:val="af1"/>
                  </w:pPr>
                  <w:r w:rsidRPr="0023170E">
                    <w:t>参数名称</w:t>
                  </w:r>
                </w:p>
              </w:tc>
              <w:tc>
                <w:tcPr>
                  <w:tcW w:w="397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7C4B9DC6" w14:textId="77777777" w:rsidR="00D12C65" w:rsidRDefault="00D12C65" w:rsidP="000D44CC">
                  <w:pPr>
                    <w:pStyle w:val="af1"/>
                  </w:pPr>
                  <w:r w:rsidRPr="0023170E">
                    <w:t>参数描述</w:t>
                  </w:r>
                </w:p>
              </w:tc>
            </w:tr>
            <w:tr w:rsidR="00D12C65" w14:paraId="0BACB8B8" w14:textId="77777777" w:rsidTr="000D44CC">
              <w:tc>
                <w:tcPr>
                  <w:tcW w:w="103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5C5ECB4D" w14:textId="77777777" w:rsidR="00D12C65" w:rsidRPr="00280B6C" w:rsidRDefault="00D12C65" w:rsidP="000D44CC">
                  <w:pPr>
                    <w:pStyle w:val="af1"/>
                  </w:pPr>
                  <w:proofErr w:type="spellStart"/>
                  <w:r w:rsidRPr="00280B6C">
                    <w:t>highWaterMark</w:t>
                  </w:r>
                  <w:proofErr w:type="spellEnd"/>
                </w:p>
              </w:tc>
              <w:tc>
                <w:tcPr>
                  <w:tcW w:w="397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3BAA347F" w14:textId="77777777" w:rsidR="00D12C65" w:rsidRPr="00280B6C" w:rsidRDefault="00D12C65" w:rsidP="000D44CC">
                  <w:pPr>
                    <w:pStyle w:val="af1"/>
                  </w:pPr>
                  <w:r w:rsidRPr="00280B6C">
                    <w:t>一个非负整数</w:t>
                  </w:r>
                  <w:r w:rsidRPr="00280B6C">
                    <w:t xml:space="preserve"> — </w:t>
                  </w:r>
                  <w:r w:rsidRPr="00280B6C">
                    <w:t>这定义了在应用</w:t>
                  </w:r>
                  <w:proofErr w:type="gramStart"/>
                  <w:r w:rsidRPr="00280B6C">
                    <w:t>背压之前</w:t>
                  </w:r>
                  <w:proofErr w:type="gramEnd"/>
                  <w:r w:rsidRPr="00280B6C">
                    <w:t>内部队列中可以包含的块的总数。</w:t>
                  </w:r>
                  <w:r>
                    <w:rPr>
                      <w:rFonts w:hint="eastAsia"/>
                    </w:rPr>
                    <w:t>就是流在不消费的情况下最多能压多少个数据包</w:t>
                  </w:r>
                </w:p>
              </w:tc>
            </w:tr>
            <w:tr w:rsidR="00D12C65" w14:paraId="2882F598" w14:textId="77777777" w:rsidTr="000D44CC">
              <w:tc>
                <w:tcPr>
                  <w:tcW w:w="103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7C371061" w14:textId="77777777" w:rsidR="00D12C65" w:rsidRPr="00280B6C" w:rsidRDefault="00D12C65" w:rsidP="000D44CC">
                  <w:pPr>
                    <w:pStyle w:val="af1"/>
                  </w:pPr>
                  <w:r w:rsidRPr="00280B6C">
                    <w:t>size(chunk)</w:t>
                  </w:r>
                </w:p>
              </w:tc>
              <w:tc>
                <w:tcPr>
                  <w:tcW w:w="397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677C5983" w14:textId="77777777" w:rsidR="00D12C65" w:rsidRPr="00280B6C" w:rsidRDefault="00D12C65" w:rsidP="000D44CC">
                  <w:pPr>
                    <w:pStyle w:val="af1"/>
                  </w:pPr>
                  <w:r w:rsidRPr="00280B6C">
                    <w:t>一个包含参数</w:t>
                  </w:r>
                  <w:r w:rsidRPr="00280B6C">
                    <w:t>chunk</w:t>
                  </w:r>
                  <w:r w:rsidRPr="00280B6C">
                    <w:t>的方法</w:t>
                  </w:r>
                  <w:r w:rsidRPr="00280B6C">
                    <w:t xml:space="preserve"> — </w:t>
                  </w:r>
                  <w:r w:rsidRPr="00280B6C">
                    <w:t>这表示每个块的大小，以字节为单位。</w:t>
                  </w:r>
                </w:p>
              </w:tc>
            </w:tr>
          </w:tbl>
          <w:p w14:paraId="43149D7D" w14:textId="77777777" w:rsidR="00D12C65" w:rsidRPr="0023170E" w:rsidRDefault="00D12C65" w:rsidP="000D44CC">
            <w:pPr>
              <w:pStyle w:val="af1"/>
            </w:pPr>
          </w:p>
        </w:tc>
      </w:tr>
      <w:tr w:rsidR="00D7203D" w:rsidRPr="0023170E" w14:paraId="25003024" w14:textId="77777777" w:rsidTr="000D44CC"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AA7F1EA" w14:textId="31BB8148" w:rsidR="00D7203D" w:rsidRPr="00236DAB" w:rsidRDefault="00236DAB" w:rsidP="00236DAB">
            <w:pPr>
              <w:pStyle w:val="af1"/>
            </w:pPr>
            <w:hyperlink r:id="rId8" w:anchor="readablestrategy" w:history="1">
              <w:r w:rsidRPr="00236DAB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readableStrategy</w:t>
              </w:r>
            </w:hyperlink>
            <w:r w:rsidRPr="00236DAB">
              <w:t>可选</w:t>
            </w:r>
          </w:p>
        </w:tc>
        <w:tc>
          <w:tcPr>
            <w:tcW w:w="3987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355"/>
              <w:gridCol w:w="5224"/>
            </w:tblGrid>
            <w:tr w:rsidR="00236DAB" w14:paraId="2A48DEBA" w14:textId="77777777" w:rsidTr="000D44CC">
              <w:tc>
                <w:tcPr>
                  <w:tcW w:w="103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6D93483B" w14:textId="77777777" w:rsidR="00236DAB" w:rsidRDefault="00236DAB" w:rsidP="00236DAB">
                  <w:pPr>
                    <w:pStyle w:val="af1"/>
                  </w:pPr>
                  <w:r w:rsidRPr="0023170E">
                    <w:t>参数名称</w:t>
                  </w:r>
                </w:p>
              </w:tc>
              <w:tc>
                <w:tcPr>
                  <w:tcW w:w="3970" w:type="pct"/>
                  <w:tcBorders>
                    <w:top w:val="single" w:sz="12" w:space="0" w:color="auto"/>
                    <w:left w:val="nil"/>
                    <w:bottom w:val="single" w:sz="6" w:space="0" w:color="auto"/>
                    <w:right w:val="nil"/>
                  </w:tcBorders>
                </w:tcPr>
                <w:p w14:paraId="4646EEED" w14:textId="77777777" w:rsidR="00236DAB" w:rsidRDefault="00236DAB" w:rsidP="00236DAB">
                  <w:pPr>
                    <w:pStyle w:val="af1"/>
                  </w:pPr>
                  <w:r w:rsidRPr="0023170E">
                    <w:t>参数描述</w:t>
                  </w:r>
                </w:p>
              </w:tc>
            </w:tr>
            <w:tr w:rsidR="00236DAB" w:rsidRPr="00280B6C" w14:paraId="58E9FC7C" w14:textId="77777777" w:rsidTr="000D44CC">
              <w:tc>
                <w:tcPr>
                  <w:tcW w:w="103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48955D3C" w14:textId="77777777" w:rsidR="00236DAB" w:rsidRPr="00280B6C" w:rsidRDefault="00236DAB" w:rsidP="00236DAB">
                  <w:pPr>
                    <w:pStyle w:val="af1"/>
                  </w:pPr>
                  <w:proofErr w:type="spellStart"/>
                  <w:r w:rsidRPr="00280B6C">
                    <w:t>highWaterMark</w:t>
                  </w:r>
                  <w:proofErr w:type="spellEnd"/>
                </w:p>
              </w:tc>
              <w:tc>
                <w:tcPr>
                  <w:tcW w:w="3970" w:type="pct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2526B492" w14:textId="77777777" w:rsidR="00236DAB" w:rsidRPr="00280B6C" w:rsidRDefault="00236DAB" w:rsidP="00236DAB">
                  <w:pPr>
                    <w:pStyle w:val="af1"/>
                  </w:pPr>
                  <w:r w:rsidRPr="00280B6C">
                    <w:t>一个非负整数</w:t>
                  </w:r>
                  <w:r w:rsidRPr="00280B6C">
                    <w:t xml:space="preserve"> — </w:t>
                  </w:r>
                  <w:r w:rsidRPr="00280B6C">
                    <w:t>这定义了在应用</w:t>
                  </w:r>
                  <w:proofErr w:type="gramStart"/>
                  <w:r w:rsidRPr="00280B6C">
                    <w:t>背压之前</w:t>
                  </w:r>
                  <w:proofErr w:type="gramEnd"/>
                  <w:r w:rsidRPr="00280B6C">
                    <w:t>内部队列中可以包含</w:t>
                  </w:r>
                  <w:r w:rsidRPr="00280B6C">
                    <w:lastRenderedPageBreak/>
                    <w:t>的块的总数。</w:t>
                  </w:r>
                  <w:r>
                    <w:rPr>
                      <w:rFonts w:hint="eastAsia"/>
                    </w:rPr>
                    <w:t>就是流在不消费的情况下最多能压多少个数据包</w:t>
                  </w:r>
                </w:p>
              </w:tc>
            </w:tr>
            <w:tr w:rsidR="00236DAB" w:rsidRPr="00280B6C" w14:paraId="107ED0EE" w14:textId="77777777" w:rsidTr="000D44CC">
              <w:tc>
                <w:tcPr>
                  <w:tcW w:w="103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23880AC6" w14:textId="77777777" w:rsidR="00236DAB" w:rsidRPr="00280B6C" w:rsidRDefault="00236DAB" w:rsidP="00236DAB">
                  <w:pPr>
                    <w:pStyle w:val="af1"/>
                  </w:pPr>
                  <w:r w:rsidRPr="00280B6C">
                    <w:lastRenderedPageBreak/>
                    <w:t>size(chunk)</w:t>
                  </w:r>
                </w:p>
              </w:tc>
              <w:tc>
                <w:tcPr>
                  <w:tcW w:w="3970" w:type="pct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35120CB8" w14:textId="77777777" w:rsidR="00236DAB" w:rsidRPr="00280B6C" w:rsidRDefault="00236DAB" w:rsidP="00236DAB">
                  <w:pPr>
                    <w:pStyle w:val="af1"/>
                  </w:pPr>
                  <w:r w:rsidRPr="00280B6C">
                    <w:t>一个包含参数</w:t>
                  </w:r>
                  <w:r w:rsidRPr="00280B6C">
                    <w:t>chunk</w:t>
                  </w:r>
                  <w:r w:rsidRPr="00280B6C">
                    <w:t>的方法</w:t>
                  </w:r>
                  <w:r w:rsidRPr="00280B6C">
                    <w:t xml:space="preserve"> — </w:t>
                  </w:r>
                  <w:r w:rsidRPr="00280B6C">
                    <w:t>这表示每个块的大小，以字节为单位。</w:t>
                  </w:r>
                </w:p>
              </w:tc>
            </w:tr>
          </w:tbl>
          <w:p w14:paraId="47F88B2E" w14:textId="77777777" w:rsidR="00D7203D" w:rsidRPr="00236DAB" w:rsidRDefault="00D7203D" w:rsidP="000D44CC">
            <w:pPr>
              <w:pStyle w:val="af1"/>
            </w:pPr>
          </w:p>
        </w:tc>
      </w:tr>
    </w:tbl>
    <w:p w14:paraId="67339DD0" w14:textId="77777777" w:rsidR="00D12C65" w:rsidRPr="00D12C65" w:rsidRDefault="00D12C65" w:rsidP="00295279">
      <w:pPr>
        <w:rPr>
          <w:rFonts w:hint="eastAsia"/>
        </w:rPr>
      </w:pP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54B6741E" w14:textId="242EA147" w:rsidR="00295279" w:rsidRPr="00295279" w:rsidRDefault="00295279" w:rsidP="00295279">
      <w:proofErr w:type="spellStart"/>
      <w:r w:rsidRPr="00295279">
        <w:t>TransformStream.readable</w:t>
      </w:r>
      <w:proofErr w:type="spellEnd"/>
      <w:r w:rsidRPr="00295279">
        <w:t>只读</w:t>
      </w:r>
      <w:proofErr w:type="spellStart"/>
      <w:r w:rsidRPr="00295279">
        <w:t>TransformStream</w:t>
      </w:r>
      <w:proofErr w:type="spellEnd"/>
      <w:r w:rsidRPr="00295279">
        <w:t>的可读端。</w:t>
      </w:r>
    </w:p>
    <w:p w14:paraId="141CE81B" w14:textId="27389A07" w:rsidR="00295279" w:rsidRPr="00295279" w:rsidRDefault="00295279" w:rsidP="00295279">
      <w:pPr>
        <w:rPr>
          <w:rFonts w:hint="eastAsia"/>
        </w:rPr>
      </w:pPr>
      <w:proofErr w:type="spellStart"/>
      <w:r w:rsidRPr="00295279">
        <w:t>TransformStream.writable</w:t>
      </w:r>
      <w:proofErr w:type="spellEnd"/>
      <w:r w:rsidRPr="00295279">
        <w:t>只读</w:t>
      </w:r>
      <w:proofErr w:type="spellStart"/>
      <w:r w:rsidRPr="00295279">
        <w:t>TransformStream</w:t>
      </w:r>
      <w:proofErr w:type="spellEnd"/>
      <w:r w:rsidRPr="00295279">
        <w:t>的可写端。</w:t>
      </w:r>
    </w:p>
    <w:sectPr w:rsidR="00295279" w:rsidRPr="00295279" w:rsidSect="00B261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82909" w14:textId="77777777" w:rsidR="00DA4D04" w:rsidRDefault="00DA4D04" w:rsidP="004573AD">
      <w:pPr>
        <w:spacing w:line="240" w:lineRule="auto"/>
      </w:pPr>
      <w:r>
        <w:separator/>
      </w:r>
    </w:p>
  </w:endnote>
  <w:endnote w:type="continuationSeparator" w:id="0">
    <w:p w14:paraId="5549A40C" w14:textId="77777777" w:rsidR="00DA4D04" w:rsidRDefault="00DA4D04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EE479" w14:textId="77777777" w:rsidR="00DA4D04" w:rsidRDefault="00DA4D04" w:rsidP="004573AD">
      <w:pPr>
        <w:spacing w:line="240" w:lineRule="auto"/>
      </w:pPr>
      <w:r>
        <w:separator/>
      </w:r>
    </w:p>
  </w:footnote>
  <w:footnote w:type="continuationSeparator" w:id="0">
    <w:p w14:paraId="5618EEF3" w14:textId="77777777" w:rsidR="00DA4D04" w:rsidRDefault="00DA4D04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27357BE"/>
    <w:multiLevelType w:val="multilevel"/>
    <w:tmpl w:val="DDE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7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344936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54B3D"/>
    <w:rsid w:val="000F6B24"/>
    <w:rsid w:val="0012229E"/>
    <w:rsid w:val="00147FCF"/>
    <w:rsid w:val="001D4D5A"/>
    <w:rsid w:val="001D6923"/>
    <w:rsid w:val="00231B9A"/>
    <w:rsid w:val="00236DAB"/>
    <w:rsid w:val="00295279"/>
    <w:rsid w:val="002B4451"/>
    <w:rsid w:val="002E2F4D"/>
    <w:rsid w:val="0039144A"/>
    <w:rsid w:val="003F10B9"/>
    <w:rsid w:val="004573AD"/>
    <w:rsid w:val="00480D9F"/>
    <w:rsid w:val="004A1323"/>
    <w:rsid w:val="004A49A5"/>
    <w:rsid w:val="004F721A"/>
    <w:rsid w:val="00622C4B"/>
    <w:rsid w:val="006314DD"/>
    <w:rsid w:val="00703B1D"/>
    <w:rsid w:val="00891443"/>
    <w:rsid w:val="008C62DC"/>
    <w:rsid w:val="009130F7"/>
    <w:rsid w:val="009201E4"/>
    <w:rsid w:val="009B7992"/>
    <w:rsid w:val="00A142A7"/>
    <w:rsid w:val="00A272D3"/>
    <w:rsid w:val="00A42E28"/>
    <w:rsid w:val="00A933AC"/>
    <w:rsid w:val="00B14FF3"/>
    <w:rsid w:val="00B261B1"/>
    <w:rsid w:val="00BB0548"/>
    <w:rsid w:val="00C14724"/>
    <w:rsid w:val="00C53C2F"/>
    <w:rsid w:val="00CF3575"/>
    <w:rsid w:val="00D12C65"/>
    <w:rsid w:val="00D7203D"/>
    <w:rsid w:val="00DA4D04"/>
    <w:rsid w:val="00DD667F"/>
    <w:rsid w:val="00DF5BF3"/>
    <w:rsid w:val="00E56424"/>
    <w:rsid w:val="00EA6FC4"/>
    <w:rsid w:val="00EC6A54"/>
    <w:rsid w:val="00EE246D"/>
    <w:rsid w:val="00F06D89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D12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D12C65"/>
    <w:pPr>
      <w:ind w:firstLineChars="0" w:firstLine="0"/>
      <w:jc w:val="center"/>
    </w:pPr>
    <w:rPr>
      <w:sz w:val="18"/>
      <w:szCs w:val="18"/>
    </w:rPr>
  </w:style>
  <w:style w:type="character" w:customStyle="1" w:styleId="af2">
    <w:name w:val="表格内容 字符"/>
    <w:basedOn w:val="a0"/>
    <w:link w:val="af1"/>
    <w:rsid w:val="00D12C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TransformStream/TransformStrea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TransformStream/TransformStrea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12</cp:revision>
  <dcterms:created xsi:type="dcterms:W3CDTF">2024-04-28T03:10:00Z</dcterms:created>
  <dcterms:modified xsi:type="dcterms:W3CDTF">2024-05-12T05:45:00Z</dcterms:modified>
</cp:coreProperties>
</file>