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Reflektif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Pertemuan 4</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 </w:t>
      </w:r>
      <w:r w:rsidDel="00000000" w:rsidR="00000000" w:rsidRPr="00000000">
        <w:rPr>
          <w:rFonts w:ascii="Times New Roman" w:cs="Times New Roman" w:eastAsia="Times New Roman" w:hAnsi="Times New Roman"/>
          <w:sz w:val="24"/>
          <w:szCs w:val="24"/>
          <w:rtl w:val="0"/>
        </w:rPr>
        <w:t xml:space="preserve">Nutrisi dan Transport Nutrisi pada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reflektif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spacing w:after="0" w:line="360" w:lineRule="auto"/>
        <w:ind w:left="709" w:hanging="283"/>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Bagaimana perasaan Anda saat terlibat dalam proses penyelidikan dan presentasi hari ini? Apakah Anda merasa lebih tertarik atau termotivasi untuk memahami mekanisme nutrisi pada tumbuhan setelah mengamati kondisi nyata dan menganalisis data?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Apa tujuan awal Anda saat memulai kegiatan penyelidikan ini? Sejauh mana tujuan tersebut tercapai? Bagaimana Anda mengarahkan diri sendiri selama proses belajar berlangsung untuk tetap fokus dan berkontribusi maksimal?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menjalani proses penyelidikan dan mempresentasikan hasilnya, bagaimana penilaian Anda terhadap kemampuan diri sendiri dalam memahami konsep nutrisi tumbuhan dan menyampaikan hasil analisis secara ilmiah? Apa yang membuat Anda percaya diri atau kurang percaya diri?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Anda menilai efektivitas proses berpikir dan belajar Anda selama pertemuan ini? Apakah Anda menemukan kekuatan dan kelemahan tertentu dalam cara Anda mencari, mengolah, dan menyimpulkan informasi? Bagaimana Anda akan memperbaikinya di pertemuan berikutnya?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atau kelompok Anda menghadapi tantangan dalam pelaksanaan penyelidikan hari ini? Bagaimana Anda menghadapinya? Apa yang membuat Anda tetap bertahan untuk menyelesaikan tugas, meskipun mengalami kesulitan atau hambatan teknis di lapangan? </w:t>
      </w:r>
      <w:r w:rsidDel="00000000" w:rsidR="00000000" w:rsidRPr="00000000">
        <w:rPr>
          <w:rFonts w:ascii="Times New Roman" w:cs="Times New Roman" w:eastAsia="Times New Roman" w:hAnsi="Times New Roman"/>
          <w:i w:val="1"/>
          <w:color w:val="0000ff"/>
          <w:sz w:val="24"/>
          <w:szCs w:val="24"/>
          <w:rtl w:val="0"/>
        </w:rPr>
        <w:t xml:space="preserve">Persistence</w:t>
      </w:r>
    </w:p>
    <w:p w:rsidR="00000000" w:rsidDel="00000000" w:rsidP="00000000" w:rsidRDefault="00000000" w:rsidRPr="00000000" w14:paraId="00000013">
      <w:pPr>
        <w:spacing w:after="0" w:line="360" w:lineRule="auto"/>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14">
      <w:pPr>
        <w:spacing w:after="0" w:line="360" w:lineRule="auto"/>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6">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Reflektif</w:t>
      </w:r>
    </w:p>
    <w:tbl>
      <w:tblPr>
        <w:tblStyle w:val="Table1"/>
        <w:tblW w:w="793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2204"/>
        <w:gridCol w:w="1571"/>
        <w:gridCol w:w="1374"/>
        <w:gridCol w:w="1365"/>
        <w:tblGridChange w:id="0">
          <w:tblGrid>
            <w:gridCol w:w="1418"/>
            <w:gridCol w:w="2204"/>
            <w:gridCol w:w="1571"/>
            <w:gridCol w:w="1374"/>
            <w:gridCol w:w="1365"/>
          </w:tblGrid>
        </w:tblGridChange>
      </w:tblGrid>
      <w:tr>
        <w:trPr>
          <w:cantSplit w:val="0"/>
          <w:tblHeader w:val="0"/>
        </w:trPr>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peningkatan atau perubahan motivasi secara reflektif dan spesifik, serta menjelaskan keterlibatan aktif selama pembelajaran.</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motivasi dan keterlibatan dengan cukup jelas, namun belum menggambarkan perubahan yang signifikan.</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motivasi secara umum tanpa elaborasi tentang keterlibatan atau perubahan.</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atau keterlibatan secara jelas, atau terlalu singkat.</w:t>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pencapaian tujuan secara spesifik, serta menjelaskan strategi belajar mandiri yang digunakan selama perkuliahan.</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pencapaian tujuan dan usaha belajar mandiri dengan cukup jelas, namun belum terperinci.</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adanya usaha belajar mandiri, tetapi tidak konkret atau kurang sesuai dengan tujuan awal.</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adanya usaha belajar mandiri atau refleksi terhadap tujuan belajar.</w:t>
            </w:r>
          </w:p>
        </w:tc>
      </w:tr>
      <w:tr>
        <w:trPr>
          <w:cantSplit w:val="0"/>
          <w:tblHeader w:val="0"/>
        </w:trPr>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peningkatan keyakinan diri dalam belajar secara meyakinkan, didukung oleh pengalaman atau hasil belajar nyata.</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rasa percaya diri yang cukup, tetapi kurang menunjukkan bukti atau refleksi spesifik.</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rasa percaya diri secara umum, tetapi tidak menjelaskan perubahan atau alasannya.</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tampak adanya refleksi tentang kepercayaan diri atau justru menunjukkan keraguan tanpa solusi.</w:t>
            </w:r>
          </w:p>
        </w:tc>
      </w:tr>
      <w:tr>
        <w:trPr>
          <w:cantSplit w:val="0"/>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Merefleksikan secara mendalam cara belajar yang digunakan, mengevaluasi efektivitasnya, dan menunjukkan perbaikan strategi.</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sebagian strategi belajar dan menunjukkan upaya evaluasi, meskipun belum menyeluruh.</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tanpa evaluasi diri yang jelas atau refleksi terbatas.</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atau evaluasi terhadap cara belajar yang digunakan.</w:t>
            </w:r>
          </w:p>
        </w:tc>
      </w:tr>
      <w:tr>
        <w:trPr>
          <w:cantSplit w:val="0"/>
          <w:tblHeader w:val="0"/>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Memberikan contoh konkret tentang tantangan belajar dan menjelaskan bagaimana ia tetap bertahan dan mengatasinya secara reflektif.</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tantangan dan strategi mengatasinya dengan cukup jelas, meskipun kurang mendalam.</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adanya tantangan, namun tidak menjelaskan respons atau solusi secara rinci.</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ketekunan atau strategi mengatasi tantangan yang dihadapi.</w:t>
            </w:r>
          </w:p>
        </w:tc>
      </w:tr>
    </w:tbl>
    <w:p w:rsidR="00000000" w:rsidDel="00000000" w:rsidP="00000000" w:rsidRDefault="00000000" w:rsidRPr="00000000" w14:paraId="00000036">
      <w:pPr>
        <w:spacing w:after="0"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567" w:firstLine="0"/>
        <w:rPr/>
      </w:pPr>
      <w:r w:rsidDel="00000000" w:rsidR="00000000" w:rsidRPr="00000000">
        <w:rPr>
          <w:rFonts w:ascii="Times New Roman" w:cs="Times New Roman" w:eastAsia="Times New Roman" w:hAnsi="Times New Roman"/>
          <w:color w:val="000000"/>
          <w:sz w:val="24"/>
          <w:szCs w:val="24"/>
          <w:rtl w:val="0"/>
        </w:rPr>
        <w:t xml:space="preserve">Nilai =  </w:t>
      </w:r>
      <m:oMath>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Σskor total</m:t>
            </m:r>
          </m:num>
          <m:den>
            <m:r>
              <w:rPr>
                <w:rFonts w:ascii="Cambria Math" w:cs="Cambria Math" w:eastAsia="Cambria Math" w:hAnsi="Cambria Math"/>
                <w:color w:val="000000"/>
                <w:sz w:val="24"/>
                <w:szCs w:val="24"/>
              </w:rPr>
              <m:t xml:space="preserve">Σskor maksimal</m:t>
            </m:r>
          </m:den>
        </m:f>
        <m:r>
          <w:rPr>
            <w:rFonts w:ascii="Cambria Math" w:cs="Cambria Math" w:eastAsia="Cambria Math" w:hAnsi="Cambria Math"/>
            <w:color w:val="000000"/>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146" w:hanging="360"/>
      </w:pPr>
      <w:rPr>
        <w:u w:val="none"/>
      </w:rPr>
    </w:lvl>
    <w:lvl w:ilvl="1">
      <w:start w:val="1"/>
      <w:numFmt w:val="lowerLetter"/>
      <w:lvlText w:val="%2."/>
      <w:lvlJc w:val="left"/>
      <w:pPr>
        <w:ind w:left="1866" w:hanging="360"/>
      </w:pPr>
      <w:rPr>
        <w:u w:val="none"/>
      </w:rPr>
    </w:lvl>
    <w:lvl w:ilvl="2">
      <w:start w:val="1"/>
      <w:numFmt w:val="lowerRoman"/>
      <w:lvlText w:val="%3."/>
      <w:lvlJc w:val="right"/>
      <w:pPr>
        <w:ind w:left="2586" w:hanging="180"/>
      </w:pPr>
      <w:rPr>
        <w:u w:val="none"/>
      </w:rPr>
    </w:lvl>
    <w:lvl w:ilvl="3">
      <w:start w:val="1"/>
      <w:numFmt w:val="decimal"/>
      <w:lvlText w:val="%4."/>
      <w:lvlJc w:val="left"/>
      <w:pPr>
        <w:ind w:left="3306" w:hanging="360"/>
      </w:pPr>
      <w:rPr>
        <w:u w:val="none"/>
      </w:rPr>
    </w:lvl>
    <w:lvl w:ilvl="4">
      <w:start w:val="1"/>
      <w:numFmt w:val="lowerLetter"/>
      <w:lvlText w:val="%5."/>
      <w:lvlJc w:val="left"/>
      <w:pPr>
        <w:ind w:left="4026" w:hanging="360"/>
      </w:pPr>
      <w:rPr>
        <w:u w:val="none"/>
      </w:rPr>
    </w:lvl>
    <w:lvl w:ilvl="5">
      <w:start w:val="1"/>
      <w:numFmt w:val="lowerRoman"/>
      <w:lvlText w:val="%6."/>
      <w:lvlJc w:val="right"/>
      <w:pPr>
        <w:ind w:left="4746" w:hanging="180"/>
      </w:pPr>
      <w:rPr>
        <w:u w:val="none"/>
      </w:rPr>
    </w:lvl>
    <w:lvl w:ilvl="6">
      <w:start w:val="1"/>
      <w:numFmt w:val="decimal"/>
      <w:lvlText w:val="%7."/>
      <w:lvlJc w:val="left"/>
      <w:pPr>
        <w:ind w:left="5466" w:hanging="360"/>
      </w:pPr>
      <w:rPr>
        <w:u w:val="none"/>
      </w:rPr>
    </w:lvl>
    <w:lvl w:ilvl="7">
      <w:start w:val="1"/>
      <w:numFmt w:val="lowerLetter"/>
      <w:lvlText w:val="%8."/>
      <w:lvlJc w:val="left"/>
      <w:pPr>
        <w:ind w:left="6186" w:hanging="360"/>
      </w:pPr>
      <w:rPr>
        <w:u w:val="none"/>
      </w:rPr>
    </w:lvl>
    <w:lvl w:ilvl="8">
      <w:start w:val="1"/>
      <w:numFmt w:val="lowerRoman"/>
      <w:lvlText w:val="%9."/>
      <w:lvlJc w:val="right"/>
      <w:pPr>
        <w:ind w:left="6906" w:hanging="18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xS2P9gPRF5wh7CvPKjO5bg29KA==">CgMxLjA4AHIhMUJjeTVadXNWdWJfMFNERkt6T25pdldMRWM3M3htdUxh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