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{Выпуск и сопровождение программных продуктов}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Цель та та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{Выпуск и сопровождение программных продуктов}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Задачи те те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Основное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 xml:space="preserve"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